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9A35" w14:textId="7760596A" w:rsidR="00055916" w:rsidRPr="0095365F" w:rsidRDefault="00055916" w:rsidP="003B4392">
      <w:pPr>
        <w:tabs>
          <w:tab w:val="left" w:pos="1540"/>
        </w:tabs>
        <w:spacing w:after="0" w:line="240" w:lineRule="auto"/>
        <w:contextualSpacing/>
        <w:rPr>
          <w:rFonts w:ascii="Open Sans" w:eastAsia="Arial" w:hAnsi="Open Sans" w:cs="Arial"/>
          <w:sz w:val="24"/>
          <w:szCs w:val="24"/>
        </w:rPr>
      </w:pPr>
      <w:r w:rsidRPr="0095365F">
        <w:rPr>
          <w:rFonts w:ascii="Open Sans" w:eastAsia="Arial" w:hAnsi="Open Sans" w:cs="Arial"/>
          <w:sz w:val="24"/>
          <w:szCs w:val="24"/>
        </w:rPr>
        <w:t>Name________________________________</w:t>
      </w:r>
      <w:r w:rsidRPr="0095365F">
        <w:rPr>
          <w:rFonts w:ascii="Open Sans" w:eastAsia="Arial" w:hAnsi="Open Sans" w:cs="Arial"/>
          <w:sz w:val="24"/>
          <w:szCs w:val="24"/>
        </w:rPr>
        <w:tab/>
        <w:t>Date__________________________</w:t>
      </w:r>
    </w:p>
    <w:p w14:paraId="3E30C2A3" w14:textId="77777777" w:rsidR="00055916" w:rsidRPr="0095365F" w:rsidRDefault="00055916" w:rsidP="003B4392">
      <w:pPr>
        <w:spacing w:line="240" w:lineRule="auto"/>
        <w:contextualSpacing/>
        <w:rPr>
          <w:rFonts w:ascii="Open Sans" w:hAnsi="Open Sans"/>
          <w:sz w:val="24"/>
          <w:szCs w:val="24"/>
        </w:rPr>
      </w:pPr>
    </w:p>
    <w:p w14:paraId="377363BE" w14:textId="6B211C84" w:rsidR="008C29A4" w:rsidRPr="0095365F" w:rsidRDefault="008C29A4" w:rsidP="00612388">
      <w:pPr>
        <w:jc w:val="center"/>
        <w:rPr>
          <w:rFonts w:ascii="Open Sans" w:hAnsi="Open Sans"/>
          <w:sz w:val="24"/>
          <w:szCs w:val="24"/>
        </w:rPr>
      </w:pPr>
      <w:r w:rsidRPr="0095365F">
        <w:rPr>
          <w:rFonts w:ascii="Open Sans" w:eastAsia="Arial" w:hAnsi="Open Sans" w:cs="Arial"/>
          <w:b/>
          <w:bCs/>
          <w:sz w:val="24"/>
          <w:szCs w:val="24"/>
        </w:rPr>
        <w:t>Admission into Evidence Court Cases Research</w:t>
      </w:r>
    </w:p>
    <w:p w14:paraId="53F15746" w14:textId="51AB7382" w:rsidR="008C29A4" w:rsidRPr="0095365F" w:rsidRDefault="008C29A4" w:rsidP="0095365F">
      <w:pPr>
        <w:numPr>
          <w:ilvl w:val="0"/>
          <w:numId w:val="21"/>
        </w:numPr>
        <w:tabs>
          <w:tab w:val="left" w:pos="360"/>
        </w:tabs>
        <w:spacing w:after="0" w:line="235" w:lineRule="auto"/>
        <w:ind w:left="360" w:right="600" w:hanging="352"/>
        <w:rPr>
          <w:rFonts w:ascii="Open Sans" w:eastAsia="Arial" w:hAnsi="Open Sans" w:cs="Arial"/>
          <w:sz w:val="24"/>
          <w:szCs w:val="24"/>
        </w:rPr>
      </w:pPr>
      <w:r w:rsidRPr="0095365F">
        <w:rPr>
          <w:rFonts w:ascii="Open Sans" w:eastAsia="Arial" w:hAnsi="Open Sans" w:cs="Arial"/>
          <w:sz w:val="24"/>
          <w:szCs w:val="24"/>
        </w:rPr>
        <w:t xml:space="preserve">What is the main difference between the rulings of </w:t>
      </w:r>
      <w:r w:rsidRPr="0095365F">
        <w:rPr>
          <w:rFonts w:ascii="Open Sans" w:eastAsia="Arial" w:hAnsi="Open Sans" w:cs="Arial"/>
          <w:i/>
          <w:iCs/>
          <w:sz w:val="24"/>
          <w:szCs w:val="24"/>
        </w:rPr>
        <w:t>Frye v. United States</w:t>
      </w:r>
      <w:r w:rsidRPr="0095365F">
        <w:rPr>
          <w:rFonts w:ascii="Open Sans" w:eastAsia="Arial" w:hAnsi="Open Sans" w:cs="Arial"/>
          <w:sz w:val="24"/>
          <w:szCs w:val="24"/>
        </w:rPr>
        <w:t xml:space="preserve"> and </w:t>
      </w:r>
      <w:proofErr w:type="spellStart"/>
      <w:r w:rsidRPr="0095365F">
        <w:rPr>
          <w:rFonts w:ascii="Open Sans" w:eastAsia="Arial" w:hAnsi="Open Sans" w:cs="Arial"/>
          <w:i/>
          <w:iCs/>
          <w:sz w:val="24"/>
          <w:szCs w:val="24"/>
        </w:rPr>
        <w:t>Daubert</w:t>
      </w:r>
      <w:proofErr w:type="spellEnd"/>
      <w:r w:rsidRPr="0095365F">
        <w:rPr>
          <w:rFonts w:ascii="Open Sans" w:eastAsia="Arial" w:hAnsi="Open Sans" w:cs="Arial"/>
          <w:i/>
          <w:iCs/>
          <w:sz w:val="24"/>
          <w:szCs w:val="24"/>
        </w:rPr>
        <w:t xml:space="preserve"> v.</w:t>
      </w:r>
      <w:r w:rsidRPr="0095365F">
        <w:rPr>
          <w:rFonts w:ascii="Open Sans" w:eastAsia="Arial" w:hAnsi="Open Sans" w:cs="Arial"/>
          <w:sz w:val="24"/>
          <w:szCs w:val="24"/>
        </w:rPr>
        <w:t xml:space="preserve"> </w:t>
      </w:r>
      <w:r w:rsidRPr="0095365F">
        <w:rPr>
          <w:rFonts w:ascii="Open Sans" w:eastAsia="Arial" w:hAnsi="Open Sans" w:cs="Arial"/>
          <w:i/>
          <w:iCs/>
          <w:sz w:val="24"/>
          <w:szCs w:val="24"/>
        </w:rPr>
        <w:t>Merrell Dow Pharmaceuticals</w:t>
      </w:r>
      <w:r w:rsidRPr="0095365F">
        <w:rPr>
          <w:rFonts w:ascii="Open Sans" w:eastAsia="Arial" w:hAnsi="Open Sans" w:cs="Arial"/>
          <w:sz w:val="24"/>
          <w:szCs w:val="24"/>
        </w:rPr>
        <w:t>?</w:t>
      </w:r>
    </w:p>
    <w:p w14:paraId="6CADED3F" w14:textId="77777777" w:rsidR="008C29A4" w:rsidRPr="0095365F" w:rsidRDefault="008C29A4" w:rsidP="008C29A4">
      <w:pPr>
        <w:spacing w:line="200" w:lineRule="exact"/>
        <w:rPr>
          <w:rFonts w:ascii="Open Sans" w:eastAsia="Arial" w:hAnsi="Open Sans" w:cs="Arial"/>
          <w:sz w:val="24"/>
          <w:szCs w:val="24"/>
        </w:rPr>
      </w:pPr>
    </w:p>
    <w:p w14:paraId="68C1C13B" w14:textId="77777777" w:rsidR="008C29A4" w:rsidRPr="0095365F" w:rsidRDefault="008C29A4" w:rsidP="008C29A4">
      <w:pPr>
        <w:spacing w:line="389" w:lineRule="exact"/>
        <w:rPr>
          <w:rFonts w:ascii="Open Sans" w:eastAsia="Arial" w:hAnsi="Open Sans" w:cs="Arial"/>
          <w:sz w:val="24"/>
          <w:szCs w:val="24"/>
        </w:rPr>
      </w:pPr>
    </w:p>
    <w:p w14:paraId="6C1EE832" w14:textId="77777777" w:rsidR="008C29A4" w:rsidRPr="0095365F" w:rsidRDefault="008C29A4" w:rsidP="008C29A4">
      <w:pPr>
        <w:numPr>
          <w:ilvl w:val="0"/>
          <w:numId w:val="21"/>
        </w:numPr>
        <w:tabs>
          <w:tab w:val="left" w:pos="360"/>
        </w:tabs>
        <w:spacing w:after="0" w:line="237" w:lineRule="auto"/>
        <w:ind w:left="360" w:right="140" w:hanging="352"/>
        <w:rPr>
          <w:rFonts w:ascii="Open Sans" w:eastAsia="Arial" w:hAnsi="Open Sans" w:cs="Arial"/>
          <w:sz w:val="24"/>
          <w:szCs w:val="24"/>
        </w:rPr>
      </w:pPr>
      <w:r w:rsidRPr="0095365F">
        <w:rPr>
          <w:rFonts w:ascii="Open Sans" w:eastAsia="Arial" w:hAnsi="Open Sans" w:cs="Arial"/>
          <w:sz w:val="24"/>
          <w:szCs w:val="24"/>
        </w:rPr>
        <w:t xml:space="preserve">After the ruling of </w:t>
      </w:r>
      <w:proofErr w:type="spellStart"/>
      <w:r w:rsidRPr="0095365F">
        <w:rPr>
          <w:rFonts w:ascii="Open Sans" w:eastAsia="Arial" w:hAnsi="Open Sans" w:cs="Arial"/>
          <w:i/>
          <w:iCs/>
          <w:sz w:val="24"/>
          <w:szCs w:val="24"/>
        </w:rPr>
        <w:t>Daubert</w:t>
      </w:r>
      <w:proofErr w:type="spellEnd"/>
      <w:r w:rsidRPr="0095365F">
        <w:rPr>
          <w:rFonts w:ascii="Open Sans" w:eastAsia="Arial" w:hAnsi="Open Sans" w:cs="Arial"/>
          <w:i/>
          <w:iCs/>
          <w:sz w:val="24"/>
          <w:szCs w:val="24"/>
        </w:rPr>
        <w:t xml:space="preserve"> v. Merrell Dow Pharmaceuticals</w:t>
      </w:r>
      <w:r w:rsidRPr="0095365F">
        <w:rPr>
          <w:rFonts w:ascii="Open Sans" w:eastAsia="Arial" w:hAnsi="Open Sans" w:cs="Arial"/>
          <w:sz w:val="24"/>
          <w:szCs w:val="24"/>
        </w:rPr>
        <w:t xml:space="preserve">, judges had to view the evidence at pretrial hearings to </w:t>
      </w:r>
      <w:proofErr w:type="gramStart"/>
      <w:r w:rsidRPr="0095365F">
        <w:rPr>
          <w:rFonts w:ascii="Open Sans" w:eastAsia="Arial" w:hAnsi="Open Sans" w:cs="Arial"/>
          <w:sz w:val="24"/>
          <w:szCs w:val="24"/>
        </w:rPr>
        <w:t>determine</w:t>
      </w:r>
      <w:proofErr w:type="gramEnd"/>
      <w:r w:rsidRPr="0095365F">
        <w:rPr>
          <w:rFonts w:ascii="Open Sans" w:eastAsia="Arial" w:hAnsi="Open Sans" w:cs="Arial"/>
          <w:sz w:val="24"/>
          <w:szCs w:val="24"/>
        </w:rPr>
        <w:t xml:space="preserve"> if the evidence could be admitted as reliable evidence. List the five </w:t>
      </w:r>
      <w:proofErr w:type="spellStart"/>
      <w:r w:rsidRPr="0095365F">
        <w:rPr>
          <w:rFonts w:ascii="Open Sans" w:eastAsia="Arial" w:hAnsi="Open Sans" w:cs="Arial"/>
          <w:sz w:val="24"/>
          <w:szCs w:val="24"/>
        </w:rPr>
        <w:t>Daubert</w:t>
      </w:r>
      <w:proofErr w:type="spellEnd"/>
      <w:r w:rsidRPr="0095365F">
        <w:rPr>
          <w:rFonts w:ascii="Open Sans" w:eastAsia="Arial" w:hAnsi="Open Sans" w:cs="Arial"/>
          <w:sz w:val="24"/>
          <w:szCs w:val="24"/>
        </w:rPr>
        <w:t xml:space="preserve"> factors that judges need to consider </w:t>
      </w:r>
      <w:proofErr w:type="gramStart"/>
      <w:r w:rsidRPr="0095365F">
        <w:rPr>
          <w:rFonts w:ascii="Open Sans" w:eastAsia="Arial" w:hAnsi="Open Sans" w:cs="Arial"/>
          <w:sz w:val="24"/>
          <w:szCs w:val="24"/>
        </w:rPr>
        <w:t>in order to</w:t>
      </w:r>
      <w:proofErr w:type="gramEnd"/>
      <w:r w:rsidRPr="0095365F">
        <w:rPr>
          <w:rFonts w:ascii="Open Sans" w:eastAsia="Arial" w:hAnsi="Open Sans" w:cs="Arial"/>
          <w:sz w:val="24"/>
          <w:szCs w:val="24"/>
        </w:rPr>
        <w:t xml:space="preserve"> admit the evidence.</w:t>
      </w:r>
    </w:p>
    <w:p w14:paraId="576D2B54" w14:textId="77777777" w:rsidR="008C29A4" w:rsidRPr="0095365F" w:rsidRDefault="008C29A4" w:rsidP="008C29A4">
      <w:pPr>
        <w:spacing w:line="200" w:lineRule="exact"/>
        <w:rPr>
          <w:rFonts w:ascii="Open Sans" w:eastAsia="Arial" w:hAnsi="Open Sans" w:cs="Arial"/>
          <w:sz w:val="24"/>
          <w:szCs w:val="24"/>
        </w:rPr>
      </w:pPr>
    </w:p>
    <w:p w14:paraId="122412BB" w14:textId="77777777" w:rsidR="008C29A4" w:rsidRPr="0095365F" w:rsidRDefault="008C29A4" w:rsidP="008C29A4">
      <w:pPr>
        <w:spacing w:line="200" w:lineRule="exact"/>
        <w:rPr>
          <w:rFonts w:ascii="Open Sans" w:eastAsia="Arial" w:hAnsi="Open Sans" w:cs="Arial"/>
          <w:sz w:val="24"/>
          <w:szCs w:val="24"/>
        </w:rPr>
      </w:pPr>
    </w:p>
    <w:p w14:paraId="0CEF41EA" w14:textId="77777777" w:rsidR="008C29A4" w:rsidRPr="0095365F" w:rsidRDefault="008C29A4" w:rsidP="008C29A4">
      <w:pPr>
        <w:spacing w:line="316" w:lineRule="exact"/>
        <w:rPr>
          <w:rFonts w:ascii="Open Sans" w:eastAsia="Arial" w:hAnsi="Open Sans" w:cs="Arial"/>
          <w:sz w:val="24"/>
          <w:szCs w:val="24"/>
        </w:rPr>
      </w:pPr>
    </w:p>
    <w:p w14:paraId="51C06767" w14:textId="77777777" w:rsidR="008C29A4" w:rsidRPr="0095365F" w:rsidRDefault="008C29A4" w:rsidP="008C29A4">
      <w:pPr>
        <w:numPr>
          <w:ilvl w:val="0"/>
          <w:numId w:val="21"/>
        </w:numPr>
        <w:tabs>
          <w:tab w:val="left" w:pos="360"/>
        </w:tabs>
        <w:spacing w:after="0" w:line="235" w:lineRule="auto"/>
        <w:ind w:left="360" w:right="60" w:hanging="352"/>
        <w:rPr>
          <w:rFonts w:ascii="Open Sans" w:eastAsia="Arial" w:hAnsi="Open Sans" w:cs="Arial"/>
          <w:sz w:val="24"/>
          <w:szCs w:val="24"/>
        </w:rPr>
      </w:pPr>
      <w:r w:rsidRPr="0095365F">
        <w:rPr>
          <w:rFonts w:ascii="Open Sans" w:eastAsia="Arial" w:hAnsi="Open Sans" w:cs="Arial"/>
          <w:sz w:val="24"/>
          <w:szCs w:val="24"/>
        </w:rPr>
        <w:t xml:space="preserve">If handwriting evidence was not yet considered to be scientific evidence at the time of </w:t>
      </w:r>
      <w:r w:rsidRPr="0095365F">
        <w:rPr>
          <w:rFonts w:ascii="Open Sans" w:eastAsia="Arial" w:hAnsi="Open Sans" w:cs="Arial"/>
          <w:i/>
          <w:iCs/>
          <w:sz w:val="24"/>
          <w:szCs w:val="24"/>
        </w:rPr>
        <w:t>United</w:t>
      </w:r>
      <w:r w:rsidRPr="0095365F">
        <w:rPr>
          <w:rFonts w:ascii="Open Sans" w:eastAsia="Arial" w:hAnsi="Open Sans" w:cs="Arial"/>
          <w:sz w:val="24"/>
          <w:szCs w:val="24"/>
        </w:rPr>
        <w:t xml:space="preserve"> </w:t>
      </w:r>
      <w:r w:rsidRPr="0095365F">
        <w:rPr>
          <w:rFonts w:ascii="Open Sans" w:eastAsia="Arial" w:hAnsi="Open Sans" w:cs="Arial"/>
          <w:i/>
          <w:iCs/>
          <w:sz w:val="24"/>
          <w:szCs w:val="24"/>
        </w:rPr>
        <w:t xml:space="preserve">States v. </w:t>
      </w:r>
      <w:proofErr w:type="spellStart"/>
      <w:r w:rsidRPr="0095365F">
        <w:rPr>
          <w:rFonts w:ascii="Open Sans" w:eastAsia="Arial" w:hAnsi="Open Sans" w:cs="Arial"/>
          <w:i/>
          <w:iCs/>
          <w:sz w:val="24"/>
          <w:szCs w:val="24"/>
        </w:rPr>
        <w:t>Starzecpyzel</w:t>
      </w:r>
      <w:proofErr w:type="spellEnd"/>
      <w:r w:rsidRPr="0095365F">
        <w:rPr>
          <w:rFonts w:ascii="Open Sans" w:eastAsia="Arial" w:hAnsi="Open Sans" w:cs="Arial"/>
          <w:sz w:val="24"/>
          <w:szCs w:val="24"/>
        </w:rPr>
        <w:t>, how was it admissible as reliable evidence?</w:t>
      </w:r>
    </w:p>
    <w:p w14:paraId="68D8C30A" w14:textId="77777777" w:rsidR="008C29A4" w:rsidRPr="0095365F" w:rsidRDefault="008C29A4" w:rsidP="008C29A4">
      <w:pPr>
        <w:spacing w:line="200" w:lineRule="exact"/>
        <w:rPr>
          <w:rFonts w:ascii="Open Sans" w:eastAsia="Arial" w:hAnsi="Open Sans" w:cs="Arial"/>
          <w:sz w:val="24"/>
          <w:szCs w:val="24"/>
        </w:rPr>
      </w:pPr>
    </w:p>
    <w:p w14:paraId="69E3EA68" w14:textId="77777777" w:rsidR="008C29A4" w:rsidRDefault="008C29A4" w:rsidP="008C29A4">
      <w:pPr>
        <w:spacing w:line="200" w:lineRule="exact"/>
        <w:rPr>
          <w:rFonts w:ascii="Open Sans" w:eastAsia="Arial" w:hAnsi="Open Sans" w:cs="Arial"/>
          <w:sz w:val="24"/>
          <w:szCs w:val="24"/>
        </w:rPr>
      </w:pPr>
    </w:p>
    <w:p w14:paraId="67A4998E" w14:textId="77777777" w:rsidR="008C29A4" w:rsidRPr="0095365F" w:rsidRDefault="008C29A4" w:rsidP="008C29A4">
      <w:pPr>
        <w:spacing w:line="391" w:lineRule="exact"/>
        <w:rPr>
          <w:rFonts w:ascii="Open Sans" w:eastAsia="Arial" w:hAnsi="Open Sans" w:cs="Arial"/>
          <w:sz w:val="24"/>
          <w:szCs w:val="24"/>
        </w:rPr>
      </w:pPr>
    </w:p>
    <w:p w14:paraId="30A3CD81" w14:textId="77777777" w:rsidR="008C29A4" w:rsidRPr="0095365F" w:rsidRDefault="008C29A4" w:rsidP="008C29A4">
      <w:pPr>
        <w:numPr>
          <w:ilvl w:val="0"/>
          <w:numId w:val="21"/>
        </w:numPr>
        <w:tabs>
          <w:tab w:val="left" w:pos="360"/>
        </w:tabs>
        <w:spacing w:after="0" w:line="236" w:lineRule="auto"/>
        <w:ind w:left="360" w:right="320" w:hanging="352"/>
        <w:rPr>
          <w:rFonts w:ascii="Open Sans" w:eastAsia="Arial" w:hAnsi="Open Sans" w:cs="Arial"/>
          <w:sz w:val="24"/>
          <w:szCs w:val="24"/>
        </w:rPr>
      </w:pPr>
      <w:r w:rsidRPr="0095365F">
        <w:rPr>
          <w:rFonts w:ascii="Open Sans" w:eastAsia="Arial" w:hAnsi="Open Sans" w:cs="Arial"/>
          <w:sz w:val="24"/>
          <w:szCs w:val="24"/>
        </w:rPr>
        <w:t xml:space="preserve">How did the ruling in </w:t>
      </w:r>
      <w:proofErr w:type="spellStart"/>
      <w:r w:rsidRPr="0095365F">
        <w:rPr>
          <w:rFonts w:ascii="Open Sans" w:eastAsia="Arial" w:hAnsi="Open Sans" w:cs="Arial"/>
          <w:i/>
          <w:iCs/>
          <w:sz w:val="24"/>
          <w:szCs w:val="24"/>
        </w:rPr>
        <w:t>Kumho</w:t>
      </w:r>
      <w:proofErr w:type="spellEnd"/>
      <w:r w:rsidRPr="0095365F">
        <w:rPr>
          <w:rFonts w:ascii="Open Sans" w:eastAsia="Arial" w:hAnsi="Open Sans" w:cs="Arial"/>
          <w:i/>
          <w:iCs/>
          <w:sz w:val="24"/>
          <w:szCs w:val="24"/>
        </w:rPr>
        <w:t xml:space="preserve"> Tire v. Carmichael</w:t>
      </w:r>
      <w:r w:rsidRPr="0095365F">
        <w:rPr>
          <w:rFonts w:ascii="Open Sans" w:eastAsia="Arial" w:hAnsi="Open Sans" w:cs="Arial"/>
          <w:sz w:val="24"/>
          <w:szCs w:val="24"/>
        </w:rPr>
        <w:t xml:space="preserve"> affect how expert witness testimony would be accepted?</w:t>
      </w:r>
    </w:p>
    <w:p w14:paraId="170F9D71" w14:textId="77777777" w:rsidR="008C29A4" w:rsidRPr="0095365F" w:rsidRDefault="008C29A4" w:rsidP="008C29A4">
      <w:pPr>
        <w:spacing w:line="200" w:lineRule="exact"/>
        <w:rPr>
          <w:rFonts w:ascii="Open Sans" w:eastAsia="Arial" w:hAnsi="Open Sans" w:cs="Arial"/>
          <w:sz w:val="24"/>
          <w:szCs w:val="24"/>
        </w:rPr>
      </w:pPr>
    </w:p>
    <w:p w14:paraId="27A09877" w14:textId="77777777" w:rsidR="008C29A4" w:rsidRDefault="008C29A4" w:rsidP="008C29A4">
      <w:pPr>
        <w:spacing w:line="389" w:lineRule="exact"/>
        <w:rPr>
          <w:rFonts w:ascii="Open Sans" w:eastAsia="Arial" w:hAnsi="Open Sans" w:cs="Arial"/>
          <w:sz w:val="24"/>
          <w:szCs w:val="24"/>
        </w:rPr>
      </w:pPr>
    </w:p>
    <w:p w14:paraId="397B2CA0" w14:textId="77777777" w:rsidR="0095365F" w:rsidRPr="0095365F" w:rsidRDefault="0095365F" w:rsidP="008C29A4">
      <w:pPr>
        <w:spacing w:line="389" w:lineRule="exact"/>
        <w:rPr>
          <w:rFonts w:ascii="Open Sans" w:eastAsia="Arial" w:hAnsi="Open Sans" w:cs="Arial"/>
          <w:sz w:val="24"/>
          <w:szCs w:val="24"/>
        </w:rPr>
      </w:pPr>
    </w:p>
    <w:p w14:paraId="5705D3A9" w14:textId="77777777" w:rsidR="008C29A4" w:rsidRPr="0095365F" w:rsidRDefault="008C29A4" w:rsidP="008C29A4">
      <w:pPr>
        <w:numPr>
          <w:ilvl w:val="0"/>
          <w:numId w:val="21"/>
        </w:numPr>
        <w:tabs>
          <w:tab w:val="left" w:pos="360"/>
        </w:tabs>
        <w:spacing w:after="0" w:line="238" w:lineRule="auto"/>
        <w:ind w:left="360" w:right="360" w:hanging="352"/>
        <w:rPr>
          <w:rFonts w:ascii="Open Sans" w:eastAsia="Arial" w:hAnsi="Open Sans" w:cs="Arial"/>
          <w:sz w:val="24"/>
          <w:szCs w:val="24"/>
        </w:rPr>
      </w:pPr>
      <w:r w:rsidRPr="0095365F">
        <w:rPr>
          <w:rFonts w:ascii="Open Sans" w:eastAsia="Arial" w:hAnsi="Open Sans" w:cs="Arial"/>
          <w:sz w:val="24"/>
          <w:szCs w:val="24"/>
        </w:rPr>
        <w:t xml:space="preserve">In </w:t>
      </w:r>
      <w:r w:rsidRPr="0095365F">
        <w:rPr>
          <w:rFonts w:ascii="Open Sans" w:eastAsia="Arial" w:hAnsi="Open Sans" w:cs="Arial"/>
          <w:i/>
          <w:iCs/>
          <w:sz w:val="24"/>
          <w:szCs w:val="24"/>
        </w:rPr>
        <w:t>United States v. Prime</w:t>
      </w:r>
      <w:r w:rsidRPr="0095365F">
        <w:rPr>
          <w:rFonts w:ascii="Open Sans" w:eastAsia="Arial" w:hAnsi="Open Sans" w:cs="Arial"/>
          <w:sz w:val="24"/>
          <w:szCs w:val="24"/>
        </w:rPr>
        <w:t>, the court viewed handwriting analysis testimony differently from how it was viewed back in 1993. What are some of the reasons that the court now considered handwriting analysis as better able to meet the Dauber factors? What had changed?</w:t>
      </w:r>
    </w:p>
    <w:p w14:paraId="16686C32" w14:textId="409A9059" w:rsidR="002A2AA3" w:rsidRDefault="008C29A4" w:rsidP="00B42BBA">
      <w:pPr>
        <w:rPr>
          <w:rFonts w:ascii="Open Sans" w:hAnsi="Open Sans"/>
          <w:sz w:val="24"/>
          <w:szCs w:val="24"/>
        </w:rPr>
      </w:pPr>
      <w:r w:rsidRPr="0095365F">
        <w:rPr>
          <w:rFonts w:ascii="Open Sans" w:hAnsi="Open Sans"/>
          <w:sz w:val="24"/>
          <w:szCs w:val="24"/>
        </w:rPr>
        <w:br w:type="page"/>
      </w:r>
      <w:bookmarkStart w:id="0" w:name="_GoBack"/>
      <w:bookmarkEnd w:id="0"/>
    </w:p>
    <w:tbl>
      <w:tblPr>
        <w:tblStyle w:val="TableGrid"/>
        <w:tblW w:w="10785" w:type="dxa"/>
        <w:jc w:val="center"/>
        <w:tblLayout w:type="fixed"/>
        <w:tblLook w:val="04A0" w:firstRow="1" w:lastRow="0" w:firstColumn="1" w:lastColumn="0" w:noHBand="0" w:noVBand="1"/>
      </w:tblPr>
      <w:tblGrid>
        <w:gridCol w:w="2157"/>
        <w:gridCol w:w="1621"/>
        <w:gridCol w:w="1800"/>
        <w:gridCol w:w="2700"/>
        <w:gridCol w:w="2507"/>
      </w:tblGrid>
      <w:tr w:rsidR="002A2AA3" w:rsidRPr="00FE2464" w14:paraId="3D50903E" w14:textId="77777777" w:rsidTr="002A2AA3">
        <w:trPr>
          <w:trHeight w:val="377"/>
          <w:jc w:val="center"/>
        </w:trPr>
        <w:tc>
          <w:tcPr>
            <w:tcW w:w="10785" w:type="dxa"/>
            <w:gridSpan w:val="5"/>
            <w:shd w:val="clear" w:color="auto" w:fill="000000" w:themeFill="text1"/>
            <w:vAlign w:val="center"/>
          </w:tcPr>
          <w:p w14:paraId="05E1AA57" w14:textId="633E39BC" w:rsidR="002A2AA3" w:rsidRPr="00FE2464" w:rsidRDefault="002A2AA3" w:rsidP="009D339F">
            <w:pPr>
              <w:jc w:val="center"/>
              <w:rPr>
                <w:rFonts w:ascii="Open Sans" w:hAnsi="Open Sans"/>
                <w:b/>
                <w:sz w:val="24"/>
                <w:szCs w:val="24"/>
              </w:rPr>
            </w:pPr>
            <w:r w:rsidRPr="002A2AA3">
              <w:rPr>
                <w:rFonts w:ascii="Open Sans" w:hAnsi="Open Sans"/>
                <w:b/>
                <w:sz w:val="24"/>
                <w:szCs w:val="24"/>
              </w:rPr>
              <w:lastRenderedPageBreak/>
              <w:t>Important Court Cases in Acceptance of Evidence</w:t>
            </w:r>
          </w:p>
        </w:tc>
      </w:tr>
      <w:tr w:rsidR="00BF57B1" w:rsidRPr="00FE2464" w14:paraId="1E688EFC" w14:textId="77777777" w:rsidTr="008A4851">
        <w:trPr>
          <w:trHeight w:val="422"/>
          <w:jc w:val="center"/>
        </w:trPr>
        <w:tc>
          <w:tcPr>
            <w:tcW w:w="2157" w:type="dxa"/>
            <w:shd w:val="clear" w:color="auto" w:fill="808080" w:themeFill="background1" w:themeFillShade="80"/>
            <w:vAlign w:val="center"/>
          </w:tcPr>
          <w:p w14:paraId="32849CA5" w14:textId="5086F9EF" w:rsidR="002A2AA3" w:rsidRPr="00FE2464" w:rsidRDefault="002A2AA3" w:rsidP="009D339F">
            <w:pPr>
              <w:jc w:val="center"/>
              <w:rPr>
                <w:rFonts w:ascii="Open Sans" w:hAnsi="Open Sans"/>
                <w:b/>
                <w:sz w:val="24"/>
                <w:szCs w:val="24"/>
              </w:rPr>
            </w:pPr>
            <w:r>
              <w:rPr>
                <w:rFonts w:ascii="Open Sans" w:hAnsi="Open Sans"/>
                <w:b/>
                <w:sz w:val="24"/>
                <w:szCs w:val="24"/>
              </w:rPr>
              <w:t>Case</w:t>
            </w:r>
          </w:p>
        </w:tc>
        <w:tc>
          <w:tcPr>
            <w:tcW w:w="1621" w:type="dxa"/>
            <w:shd w:val="clear" w:color="auto" w:fill="808080" w:themeFill="background1" w:themeFillShade="80"/>
            <w:vAlign w:val="center"/>
          </w:tcPr>
          <w:p w14:paraId="247A3CA3" w14:textId="56B7F37E" w:rsidR="002A2AA3" w:rsidRPr="00FE2464" w:rsidRDefault="002A2AA3" w:rsidP="009D339F">
            <w:pPr>
              <w:jc w:val="center"/>
              <w:rPr>
                <w:rFonts w:ascii="Open Sans" w:hAnsi="Open Sans"/>
                <w:b/>
                <w:sz w:val="24"/>
                <w:szCs w:val="24"/>
              </w:rPr>
            </w:pPr>
            <w:r>
              <w:rPr>
                <w:rFonts w:ascii="Open Sans" w:hAnsi="Open Sans"/>
                <w:b/>
                <w:sz w:val="24"/>
                <w:szCs w:val="24"/>
              </w:rPr>
              <w:t>Date</w:t>
            </w:r>
          </w:p>
        </w:tc>
        <w:tc>
          <w:tcPr>
            <w:tcW w:w="1800" w:type="dxa"/>
            <w:shd w:val="clear" w:color="auto" w:fill="808080" w:themeFill="background1" w:themeFillShade="80"/>
            <w:vAlign w:val="center"/>
          </w:tcPr>
          <w:p w14:paraId="23938ECD" w14:textId="77777777" w:rsidR="002A2AA3" w:rsidRDefault="002A2AA3" w:rsidP="009D339F">
            <w:pPr>
              <w:jc w:val="center"/>
              <w:rPr>
                <w:rFonts w:ascii="Open Sans" w:hAnsi="Open Sans"/>
                <w:b/>
                <w:sz w:val="24"/>
                <w:szCs w:val="24"/>
              </w:rPr>
            </w:pPr>
            <w:r>
              <w:rPr>
                <w:rFonts w:ascii="Open Sans" w:hAnsi="Open Sans"/>
                <w:b/>
                <w:sz w:val="24"/>
                <w:szCs w:val="24"/>
              </w:rPr>
              <w:t>Case</w:t>
            </w:r>
          </w:p>
          <w:p w14:paraId="0074F2C4" w14:textId="3C9DB80B" w:rsidR="002A2AA3" w:rsidRPr="00FE2464" w:rsidRDefault="002A2AA3" w:rsidP="009D339F">
            <w:pPr>
              <w:jc w:val="center"/>
              <w:rPr>
                <w:rFonts w:ascii="Open Sans" w:hAnsi="Open Sans"/>
                <w:b/>
                <w:sz w:val="24"/>
                <w:szCs w:val="24"/>
              </w:rPr>
            </w:pPr>
            <w:r>
              <w:rPr>
                <w:rFonts w:ascii="Open Sans" w:hAnsi="Open Sans"/>
                <w:b/>
                <w:sz w:val="24"/>
                <w:szCs w:val="24"/>
              </w:rPr>
              <w:t>Number</w:t>
            </w:r>
          </w:p>
        </w:tc>
        <w:tc>
          <w:tcPr>
            <w:tcW w:w="2700" w:type="dxa"/>
            <w:shd w:val="clear" w:color="auto" w:fill="808080" w:themeFill="background1" w:themeFillShade="80"/>
            <w:vAlign w:val="center"/>
          </w:tcPr>
          <w:p w14:paraId="2191E980" w14:textId="73A4F88E" w:rsidR="002A2AA3" w:rsidRPr="00FE2464" w:rsidRDefault="002A2AA3" w:rsidP="009D339F">
            <w:pPr>
              <w:jc w:val="center"/>
              <w:rPr>
                <w:rFonts w:ascii="Open Sans" w:hAnsi="Open Sans"/>
                <w:b/>
                <w:sz w:val="24"/>
                <w:szCs w:val="24"/>
              </w:rPr>
            </w:pPr>
            <w:r>
              <w:rPr>
                <w:rFonts w:ascii="Open Sans" w:hAnsi="Open Sans"/>
                <w:b/>
                <w:sz w:val="24"/>
                <w:szCs w:val="24"/>
              </w:rPr>
              <w:t>Summary of Case and Decision</w:t>
            </w:r>
          </w:p>
        </w:tc>
        <w:tc>
          <w:tcPr>
            <w:tcW w:w="2507" w:type="dxa"/>
            <w:shd w:val="clear" w:color="auto" w:fill="808080" w:themeFill="background1" w:themeFillShade="80"/>
            <w:vAlign w:val="center"/>
          </w:tcPr>
          <w:p w14:paraId="75B791FD" w14:textId="3371E2C5" w:rsidR="002A2AA3" w:rsidRPr="00FE2464" w:rsidRDefault="002A2AA3" w:rsidP="009D339F">
            <w:pPr>
              <w:jc w:val="center"/>
              <w:rPr>
                <w:rFonts w:ascii="Open Sans" w:hAnsi="Open Sans"/>
                <w:b/>
                <w:sz w:val="24"/>
                <w:szCs w:val="24"/>
              </w:rPr>
            </w:pPr>
            <w:r>
              <w:rPr>
                <w:rFonts w:ascii="Open Sans" w:hAnsi="Open Sans"/>
                <w:b/>
                <w:sz w:val="24"/>
                <w:szCs w:val="24"/>
              </w:rPr>
              <w:t>Notes on Impact</w:t>
            </w:r>
          </w:p>
        </w:tc>
      </w:tr>
      <w:tr w:rsidR="008A4851" w:rsidRPr="00FE2464" w14:paraId="0157D8E1" w14:textId="77777777" w:rsidTr="00017BCD">
        <w:trPr>
          <w:trHeight w:val="1007"/>
          <w:jc w:val="center"/>
        </w:trPr>
        <w:tc>
          <w:tcPr>
            <w:tcW w:w="2157" w:type="dxa"/>
            <w:shd w:val="clear" w:color="auto" w:fill="D0CECE" w:themeFill="background2" w:themeFillShade="E6"/>
          </w:tcPr>
          <w:p w14:paraId="226B3B1E" w14:textId="1E8C6A01" w:rsidR="002A2AA3" w:rsidRPr="00612388" w:rsidRDefault="00612388" w:rsidP="00612388">
            <w:pPr>
              <w:rPr>
                <w:rFonts w:ascii="Open Sans" w:hAnsi="Open Sans"/>
                <w:i/>
                <w:sz w:val="24"/>
                <w:szCs w:val="24"/>
              </w:rPr>
            </w:pPr>
            <w:r w:rsidRPr="00612388">
              <w:rPr>
                <w:rFonts w:ascii="Open Sans" w:hAnsi="Open Sans"/>
                <w:i/>
                <w:sz w:val="24"/>
                <w:szCs w:val="24"/>
              </w:rPr>
              <w:t>Frye v. United States</w:t>
            </w:r>
          </w:p>
        </w:tc>
        <w:tc>
          <w:tcPr>
            <w:tcW w:w="1621" w:type="dxa"/>
          </w:tcPr>
          <w:p w14:paraId="00530A51" w14:textId="77777777" w:rsidR="002A2AA3" w:rsidRPr="00612388" w:rsidRDefault="002A2AA3" w:rsidP="00612388">
            <w:pPr>
              <w:jc w:val="center"/>
              <w:rPr>
                <w:rFonts w:ascii="Open Sans" w:hAnsi="Open Sans"/>
                <w:sz w:val="24"/>
                <w:szCs w:val="24"/>
              </w:rPr>
            </w:pPr>
          </w:p>
        </w:tc>
        <w:tc>
          <w:tcPr>
            <w:tcW w:w="1800" w:type="dxa"/>
          </w:tcPr>
          <w:p w14:paraId="0CBF7801" w14:textId="77777777" w:rsidR="002A2AA3" w:rsidRPr="00612388" w:rsidRDefault="002A2AA3" w:rsidP="00612388">
            <w:pPr>
              <w:rPr>
                <w:rFonts w:ascii="Open Sans" w:hAnsi="Open Sans"/>
                <w:sz w:val="24"/>
                <w:szCs w:val="24"/>
              </w:rPr>
            </w:pPr>
          </w:p>
        </w:tc>
        <w:tc>
          <w:tcPr>
            <w:tcW w:w="2700" w:type="dxa"/>
          </w:tcPr>
          <w:p w14:paraId="286B8925" w14:textId="77777777" w:rsidR="002A2AA3" w:rsidRPr="00612388" w:rsidRDefault="002A2AA3" w:rsidP="00612388">
            <w:pPr>
              <w:rPr>
                <w:rFonts w:ascii="Open Sans" w:hAnsi="Open Sans"/>
                <w:sz w:val="24"/>
                <w:szCs w:val="24"/>
              </w:rPr>
            </w:pPr>
          </w:p>
        </w:tc>
        <w:tc>
          <w:tcPr>
            <w:tcW w:w="2507" w:type="dxa"/>
          </w:tcPr>
          <w:p w14:paraId="40791CEF" w14:textId="77777777" w:rsidR="002A2AA3" w:rsidRPr="00612388" w:rsidRDefault="002A2AA3" w:rsidP="00612388">
            <w:pPr>
              <w:rPr>
                <w:rFonts w:ascii="Open Sans" w:hAnsi="Open Sans"/>
                <w:sz w:val="24"/>
                <w:szCs w:val="24"/>
              </w:rPr>
            </w:pPr>
          </w:p>
        </w:tc>
      </w:tr>
      <w:tr w:rsidR="008A4851" w:rsidRPr="00FE2464" w14:paraId="6E9FB0ED" w14:textId="77777777" w:rsidTr="008A4851">
        <w:trPr>
          <w:trHeight w:val="1440"/>
          <w:jc w:val="center"/>
        </w:trPr>
        <w:tc>
          <w:tcPr>
            <w:tcW w:w="2157" w:type="dxa"/>
            <w:shd w:val="clear" w:color="auto" w:fill="D0CECE" w:themeFill="background2" w:themeFillShade="E6"/>
          </w:tcPr>
          <w:p w14:paraId="2227D5A7" w14:textId="3A66F1D8" w:rsidR="002A2AA3" w:rsidRPr="00612388" w:rsidRDefault="002A2AA3" w:rsidP="00612388">
            <w:pPr>
              <w:rPr>
                <w:rFonts w:ascii="Open Sans" w:hAnsi="Open Sans"/>
                <w:sz w:val="24"/>
                <w:szCs w:val="24"/>
              </w:rPr>
            </w:pPr>
          </w:p>
        </w:tc>
        <w:tc>
          <w:tcPr>
            <w:tcW w:w="1621" w:type="dxa"/>
          </w:tcPr>
          <w:p w14:paraId="6D3C3E0F" w14:textId="1B3B616E" w:rsidR="002A2AA3" w:rsidRPr="00612388" w:rsidRDefault="00612388" w:rsidP="00612388">
            <w:pPr>
              <w:jc w:val="center"/>
              <w:rPr>
                <w:rFonts w:ascii="Open Sans" w:hAnsi="Open Sans"/>
                <w:sz w:val="24"/>
                <w:szCs w:val="24"/>
              </w:rPr>
            </w:pPr>
            <w:r w:rsidRPr="00612388">
              <w:rPr>
                <w:rFonts w:ascii="Open Sans" w:hAnsi="Open Sans"/>
                <w:sz w:val="24"/>
                <w:szCs w:val="24"/>
              </w:rPr>
              <w:t>1993</w:t>
            </w:r>
          </w:p>
        </w:tc>
        <w:tc>
          <w:tcPr>
            <w:tcW w:w="1800" w:type="dxa"/>
          </w:tcPr>
          <w:p w14:paraId="7B3FB624" w14:textId="77777777" w:rsidR="00612388" w:rsidRDefault="00612388" w:rsidP="00612388">
            <w:pPr>
              <w:rPr>
                <w:rFonts w:ascii="Open Sans" w:hAnsi="Open Sans"/>
                <w:sz w:val="24"/>
                <w:szCs w:val="24"/>
              </w:rPr>
            </w:pPr>
            <w:r w:rsidRPr="00612388">
              <w:rPr>
                <w:rFonts w:ascii="Open Sans" w:hAnsi="Open Sans"/>
                <w:sz w:val="24"/>
                <w:szCs w:val="24"/>
              </w:rPr>
              <w:t>509 US</w:t>
            </w:r>
          </w:p>
          <w:p w14:paraId="0AD8DE39" w14:textId="77777777" w:rsidR="00BE44AD" w:rsidRDefault="00612388" w:rsidP="00612388">
            <w:pPr>
              <w:rPr>
                <w:rFonts w:ascii="Open Sans" w:hAnsi="Open Sans"/>
                <w:noProof/>
                <w:sz w:val="24"/>
                <w:szCs w:val="24"/>
              </w:rPr>
            </w:pPr>
            <w:r w:rsidRPr="002A2AA3">
              <w:rPr>
                <w:rFonts w:ascii="Open Sans" w:hAnsi="Open Sans"/>
                <w:noProof/>
                <w:sz w:val="24"/>
                <w:szCs w:val="24"/>
              </w:rPr>
              <w:t>579, 113</w:t>
            </w:r>
          </w:p>
          <w:p w14:paraId="31962738" w14:textId="77777777" w:rsidR="00BE44AD" w:rsidRDefault="00BE44AD" w:rsidP="00612388">
            <w:pPr>
              <w:rPr>
                <w:rFonts w:ascii="Open Sans" w:hAnsi="Open Sans"/>
                <w:sz w:val="24"/>
                <w:szCs w:val="24"/>
              </w:rPr>
            </w:pPr>
            <w:proofErr w:type="spellStart"/>
            <w:proofErr w:type="gramStart"/>
            <w:r>
              <w:rPr>
                <w:rFonts w:ascii="Open Sans" w:hAnsi="Open Sans"/>
                <w:sz w:val="24"/>
                <w:szCs w:val="24"/>
              </w:rPr>
              <w:t>S.Ct</w:t>
            </w:r>
            <w:proofErr w:type="spellEnd"/>
            <w:proofErr w:type="gramEnd"/>
            <w:r>
              <w:rPr>
                <w:rFonts w:ascii="Open Sans" w:hAnsi="Open Sans"/>
                <w:sz w:val="24"/>
                <w:szCs w:val="24"/>
              </w:rPr>
              <w:t xml:space="preserve"> 2786.</w:t>
            </w:r>
          </w:p>
          <w:p w14:paraId="15C647BF" w14:textId="77777777" w:rsidR="00BE44AD" w:rsidRDefault="00BE44AD" w:rsidP="00612388">
            <w:pPr>
              <w:rPr>
                <w:rFonts w:ascii="Open Sans" w:hAnsi="Open Sans"/>
                <w:sz w:val="24"/>
                <w:szCs w:val="24"/>
              </w:rPr>
            </w:pPr>
            <w:r>
              <w:rPr>
                <w:rFonts w:ascii="Open Sans" w:hAnsi="Open Sans"/>
                <w:sz w:val="24"/>
                <w:szCs w:val="24"/>
              </w:rPr>
              <w:t>125 L. Ed.</w:t>
            </w:r>
          </w:p>
          <w:p w14:paraId="3B25BB59" w14:textId="5F756C73" w:rsidR="002A2AA3" w:rsidRPr="00612388" w:rsidRDefault="00BE44AD" w:rsidP="00612388">
            <w:pPr>
              <w:rPr>
                <w:rFonts w:ascii="Open Sans" w:hAnsi="Open Sans"/>
                <w:sz w:val="24"/>
                <w:szCs w:val="24"/>
              </w:rPr>
            </w:pPr>
            <w:proofErr w:type="spellStart"/>
            <w:r w:rsidRPr="00BE44AD">
              <w:rPr>
                <w:rFonts w:ascii="Open Sans" w:hAnsi="Open Sans"/>
                <w:sz w:val="24"/>
                <w:szCs w:val="24"/>
              </w:rPr>
              <w:t>2d</w:t>
            </w:r>
            <w:proofErr w:type="spellEnd"/>
            <w:r w:rsidRPr="00BE44AD">
              <w:rPr>
                <w:rFonts w:ascii="Open Sans" w:hAnsi="Open Sans"/>
                <w:sz w:val="24"/>
                <w:szCs w:val="24"/>
              </w:rPr>
              <w:t xml:space="preserve"> 469</w:t>
            </w:r>
          </w:p>
        </w:tc>
        <w:tc>
          <w:tcPr>
            <w:tcW w:w="2700" w:type="dxa"/>
          </w:tcPr>
          <w:p w14:paraId="31912B29" w14:textId="77777777" w:rsidR="002A2AA3" w:rsidRPr="00612388" w:rsidRDefault="002A2AA3" w:rsidP="00612388">
            <w:pPr>
              <w:rPr>
                <w:rFonts w:ascii="Open Sans" w:hAnsi="Open Sans"/>
                <w:sz w:val="24"/>
                <w:szCs w:val="24"/>
              </w:rPr>
            </w:pPr>
          </w:p>
        </w:tc>
        <w:tc>
          <w:tcPr>
            <w:tcW w:w="2507" w:type="dxa"/>
          </w:tcPr>
          <w:p w14:paraId="36BC7E26" w14:textId="77777777" w:rsidR="00BE44AD" w:rsidRDefault="00612388" w:rsidP="00612388">
            <w:pPr>
              <w:rPr>
                <w:rFonts w:ascii="Open Sans" w:hAnsi="Open Sans"/>
                <w:sz w:val="24"/>
                <w:szCs w:val="24"/>
              </w:rPr>
            </w:pPr>
            <w:r w:rsidRPr="00612388">
              <w:rPr>
                <w:rFonts w:ascii="Open Sans" w:hAnsi="Open Sans"/>
                <w:sz w:val="24"/>
                <w:szCs w:val="24"/>
              </w:rPr>
              <w:t>Created “gate-</w:t>
            </w:r>
            <w:r>
              <w:t xml:space="preserve"> </w:t>
            </w:r>
            <w:r w:rsidRPr="00612388">
              <w:rPr>
                <w:rFonts w:ascii="Open Sans" w:hAnsi="Open Sans"/>
                <w:sz w:val="24"/>
                <w:szCs w:val="24"/>
              </w:rPr>
              <w:t>keeping” role for</w:t>
            </w:r>
            <w:r>
              <w:rPr>
                <w:rFonts w:ascii="Open Sans" w:hAnsi="Open Sans"/>
                <w:sz w:val="24"/>
                <w:szCs w:val="24"/>
              </w:rPr>
              <w:t xml:space="preserve"> </w:t>
            </w:r>
            <w:r w:rsidRPr="00612388">
              <w:rPr>
                <w:rFonts w:ascii="Open Sans" w:hAnsi="Open Sans"/>
                <w:sz w:val="24"/>
                <w:szCs w:val="24"/>
              </w:rPr>
              <w:t>judges.</w:t>
            </w:r>
          </w:p>
          <w:p w14:paraId="293197F7" w14:textId="3E02781D" w:rsidR="002A2AA3" w:rsidRPr="00612388" w:rsidRDefault="00BE44AD" w:rsidP="00612388">
            <w:pPr>
              <w:rPr>
                <w:rFonts w:ascii="Open Sans" w:hAnsi="Open Sans"/>
                <w:sz w:val="24"/>
                <w:szCs w:val="24"/>
              </w:rPr>
            </w:pPr>
            <w:r w:rsidRPr="00BE44AD">
              <w:rPr>
                <w:rFonts w:ascii="Open Sans" w:hAnsi="Open Sans"/>
                <w:sz w:val="24"/>
                <w:szCs w:val="24"/>
              </w:rPr>
              <w:t>Expert Witnesses meant hearsay was</w:t>
            </w:r>
            <w:r>
              <w:rPr>
                <w:rFonts w:ascii="Open Sans" w:hAnsi="Open Sans"/>
                <w:sz w:val="24"/>
                <w:szCs w:val="24"/>
              </w:rPr>
              <w:t xml:space="preserve"> </w:t>
            </w:r>
            <w:r w:rsidRPr="00BE44AD">
              <w:rPr>
                <w:rFonts w:ascii="Open Sans" w:hAnsi="Open Sans"/>
                <w:sz w:val="24"/>
                <w:szCs w:val="24"/>
              </w:rPr>
              <w:t>allowed in court of</w:t>
            </w:r>
            <w:r>
              <w:rPr>
                <w:rFonts w:ascii="Open Sans" w:hAnsi="Open Sans"/>
                <w:sz w:val="24"/>
                <w:szCs w:val="24"/>
              </w:rPr>
              <w:t xml:space="preserve"> law.</w:t>
            </w:r>
          </w:p>
        </w:tc>
      </w:tr>
      <w:tr w:rsidR="008A4851" w:rsidRPr="00FE2464" w14:paraId="744A2EB1" w14:textId="77777777" w:rsidTr="008A4851">
        <w:trPr>
          <w:trHeight w:val="1440"/>
          <w:jc w:val="center"/>
        </w:trPr>
        <w:tc>
          <w:tcPr>
            <w:tcW w:w="2157" w:type="dxa"/>
            <w:shd w:val="clear" w:color="auto" w:fill="D0CECE" w:themeFill="background2" w:themeFillShade="E6"/>
          </w:tcPr>
          <w:p w14:paraId="7F5357E6" w14:textId="7CF51866" w:rsidR="002A2AA3" w:rsidRPr="00BF57B1" w:rsidRDefault="002A2AA3" w:rsidP="00612388">
            <w:pPr>
              <w:rPr>
                <w:rFonts w:ascii="Open Sans" w:hAnsi="Open Sans"/>
                <w:i/>
                <w:sz w:val="24"/>
                <w:szCs w:val="24"/>
              </w:rPr>
            </w:pPr>
          </w:p>
        </w:tc>
        <w:tc>
          <w:tcPr>
            <w:tcW w:w="1621" w:type="dxa"/>
          </w:tcPr>
          <w:p w14:paraId="3B6010A9" w14:textId="47AAA101" w:rsidR="002A2AA3" w:rsidRPr="00612388" w:rsidRDefault="00612388" w:rsidP="00612388">
            <w:pPr>
              <w:jc w:val="center"/>
              <w:rPr>
                <w:rFonts w:ascii="Open Sans" w:hAnsi="Open Sans"/>
                <w:sz w:val="24"/>
                <w:szCs w:val="24"/>
              </w:rPr>
            </w:pPr>
            <w:r w:rsidRPr="00612388">
              <w:rPr>
                <w:rFonts w:ascii="Open Sans" w:hAnsi="Open Sans"/>
                <w:sz w:val="24"/>
                <w:szCs w:val="24"/>
              </w:rPr>
              <w:t>1995</w:t>
            </w:r>
          </w:p>
        </w:tc>
        <w:tc>
          <w:tcPr>
            <w:tcW w:w="1800" w:type="dxa"/>
          </w:tcPr>
          <w:p w14:paraId="20D40A15" w14:textId="77777777" w:rsidR="008A4851" w:rsidRDefault="008A4851" w:rsidP="00612388">
            <w:pPr>
              <w:rPr>
                <w:rFonts w:ascii="Open Sans" w:hAnsi="Open Sans"/>
                <w:sz w:val="24"/>
                <w:szCs w:val="24"/>
              </w:rPr>
            </w:pPr>
            <w:proofErr w:type="spellStart"/>
            <w:r w:rsidRPr="008A4851">
              <w:rPr>
                <w:rFonts w:ascii="Open Sans" w:hAnsi="Open Sans"/>
                <w:sz w:val="24"/>
                <w:szCs w:val="24"/>
              </w:rPr>
              <w:t>880F</w:t>
            </w:r>
            <w:proofErr w:type="spellEnd"/>
            <w:r w:rsidRPr="008A4851">
              <w:rPr>
                <w:rFonts w:ascii="Open Sans" w:hAnsi="Open Sans"/>
                <w:sz w:val="24"/>
                <w:szCs w:val="24"/>
              </w:rPr>
              <w:t>.</w:t>
            </w:r>
            <w:r w:rsidRPr="008A4851">
              <w:rPr>
                <w:rFonts w:ascii="Open Sans" w:hAnsi="Open Sans"/>
                <w:sz w:val="24"/>
                <w:szCs w:val="24"/>
              </w:rPr>
              <w:tab/>
            </w:r>
          </w:p>
          <w:p w14:paraId="6AC5E0F6" w14:textId="77777777" w:rsidR="008A4851" w:rsidRDefault="008A4851" w:rsidP="00612388">
            <w:pPr>
              <w:rPr>
                <w:rFonts w:ascii="Open Sans" w:hAnsi="Open Sans"/>
                <w:noProof/>
                <w:sz w:val="24"/>
                <w:szCs w:val="24"/>
              </w:rPr>
            </w:pPr>
            <w:r>
              <w:rPr>
                <w:rFonts w:ascii="Open Sans" w:hAnsi="Open Sans"/>
                <w:noProof/>
                <w:sz w:val="24"/>
                <w:szCs w:val="24"/>
              </w:rPr>
              <w:t>Supp.1027</w:t>
            </w:r>
          </w:p>
          <w:p w14:paraId="6F6BF1D8" w14:textId="55D9460F" w:rsidR="002A2AA3" w:rsidRPr="00612388" w:rsidRDefault="008A4851" w:rsidP="00612388">
            <w:pPr>
              <w:rPr>
                <w:rFonts w:ascii="Open Sans" w:hAnsi="Open Sans"/>
                <w:sz w:val="24"/>
                <w:szCs w:val="24"/>
              </w:rPr>
            </w:pPr>
            <w:r w:rsidRPr="008A4851">
              <w:rPr>
                <w:rFonts w:ascii="Open Sans" w:hAnsi="Open Sans"/>
                <w:sz w:val="24"/>
                <w:szCs w:val="24"/>
              </w:rPr>
              <w:t>(</w:t>
            </w:r>
            <w:proofErr w:type="spellStart"/>
            <w:r w:rsidRPr="008A4851">
              <w:rPr>
                <w:rFonts w:ascii="Open Sans" w:hAnsi="Open Sans"/>
                <w:sz w:val="24"/>
                <w:szCs w:val="24"/>
              </w:rPr>
              <w:t>S.D.N.Y</w:t>
            </w:r>
            <w:proofErr w:type="spellEnd"/>
            <w:r w:rsidRPr="008A4851">
              <w:rPr>
                <w:rFonts w:ascii="Open Sans" w:hAnsi="Open Sans"/>
                <w:sz w:val="24"/>
                <w:szCs w:val="24"/>
              </w:rPr>
              <w:t>.</w:t>
            </w:r>
            <w:r>
              <w:rPr>
                <w:rFonts w:ascii="Open Sans" w:hAnsi="Open Sans"/>
                <w:sz w:val="24"/>
                <w:szCs w:val="24"/>
              </w:rPr>
              <w:t xml:space="preserve"> </w:t>
            </w:r>
            <w:r w:rsidRPr="008A4851">
              <w:rPr>
                <w:rFonts w:ascii="Open Sans" w:hAnsi="Open Sans"/>
                <w:sz w:val="24"/>
                <w:szCs w:val="24"/>
              </w:rPr>
              <w:t>1995)</w:t>
            </w:r>
          </w:p>
        </w:tc>
        <w:tc>
          <w:tcPr>
            <w:tcW w:w="2700" w:type="dxa"/>
          </w:tcPr>
          <w:p w14:paraId="1B29CC21" w14:textId="6ACB26A0" w:rsidR="002A2AA3" w:rsidRPr="00612388" w:rsidRDefault="008A4851" w:rsidP="00612388">
            <w:pPr>
              <w:rPr>
                <w:rFonts w:ascii="Open Sans" w:hAnsi="Open Sans"/>
                <w:sz w:val="24"/>
                <w:szCs w:val="24"/>
              </w:rPr>
            </w:pPr>
            <w:r>
              <w:rPr>
                <w:rFonts w:ascii="Open Sans" w:hAnsi="Open Sans"/>
                <w:noProof/>
                <w:sz w:val="24"/>
                <w:szCs w:val="24"/>
              </w:rPr>
              <w:t xml:space="preserve">Determined handwriting </w:t>
            </w:r>
            <w:r w:rsidRPr="002A2AA3">
              <w:rPr>
                <w:rFonts w:ascii="Open Sans" w:hAnsi="Open Sans"/>
                <w:noProof/>
                <w:sz w:val="24"/>
                <w:szCs w:val="24"/>
              </w:rPr>
              <w:t>analysis</w:t>
            </w:r>
            <w:r>
              <w:rPr>
                <w:rFonts w:ascii="Open Sans" w:hAnsi="Open Sans"/>
                <w:noProof/>
                <w:sz w:val="24"/>
                <w:szCs w:val="24"/>
              </w:rPr>
              <w:t xml:space="preserve"> </w:t>
            </w:r>
            <w:r w:rsidRPr="008A4851">
              <w:rPr>
                <w:rFonts w:ascii="Open Sans" w:hAnsi="Open Sans"/>
                <w:noProof/>
                <w:sz w:val="24"/>
                <w:szCs w:val="24"/>
              </w:rPr>
              <w:t>did not meet Daubert</w:t>
            </w:r>
            <w:r>
              <w:rPr>
                <w:rFonts w:ascii="Open Sans" w:hAnsi="Open Sans"/>
                <w:noProof/>
                <w:sz w:val="24"/>
                <w:szCs w:val="24"/>
              </w:rPr>
              <w:t xml:space="preserve"> </w:t>
            </w:r>
            <w:r w:rsidRPr="008A4851">
              <w:rPr>
                <w:rFonts w:ascii="Open Sans" w:hAnsi="Open Sans"/>
                <w:noProof/>
                <w:sz w:val="24"/>
                <w:szCs w:val="24"/>
              </w:rPr>
              <w:t>factors, but it found handwriting analysis to be considered as technical and admissible.</w:t>
            </w:r>
            <w:r w:rsidRPr="008A4851">
              <w:rPr>
                <w:rFonts w:ascii="Open Sans" w:hAnsi="Open Sans"/>
                <w:noProof/>
                <w:sz w:val="24"/>
                <w:szCs w:val="24"/>
              </w:rPr>
              <w:tab/>
            </w:r>
            <w:r w:rsidRPr="002A2AA3">
              <w:rPr>
                <w:rFonts w:ascii="Open Sans" w:hAnsi="Open Sans"/>
                <w:noProof/>
                <w:sz w:val="24"/>
                <w:szCs w:val="24"/>
              </w:rPr>
              <w:tab/>
            </w:r>
          </w:p>
        </w:tc>
        <w:tc>
          <w:tcPr>
            <w:tcW w:w="2507" w:type="dxa"/>
          </w:tcPr>
          <w:p w14:paraId="2D88CDC1" w14:textId="530D4580" w:rsidR="002A2AA3" w:rsidRPr="00612388" w:rsidRDefault="00DF55CE" w:rsidP="00612388">
            <w:pPr>
              <w:rPr>
                <w:rFonts w:ascii="Open Sans" w:hAnsi="Open Sans"/>
                <w:sz w:val="24"/>
                <w:szCs w:val="24"/>
              </w:rPr>
            </w:pPr>
            <w:r w:rsidRPr="00DF55CE">
              <w:rPr>
                <w:rFonts w:ascii="Open Sans" w:hAnsi="Open Sans"/>
                <w:sz w:val="24"/>
                <w:szCs w:val="24"/>
              </w:rPr>
              <w:t>Did not meet</w:t>
            </w:r>
            <w:r w:rsidR="008A4851">
              <w:rPr>
                <w:rFonts w:ascii="Open Sans" w:hAnsi="Open Sans"/>
                <w:sz w:val="24"/>
                <w:szCs w:val="24"/>
              </w:rPr>
              <w:t xml:space="preserve"> </w:t>
            </w:r>
            <w:proofErr w:type="spellStart"/>
            <w:r w:rsidR="008A4851" w:rsidRPr="008A4851">
              <w:rPr>
                <w:rFonts w:ascii="Open Sans" w:hAnsi="Open Sans"/>
                <w:sz w:val="24"/>
                <w:szCs w:val="24"/>
              </w:rPr>
              <w:t>Daubert</w:t>
            </w:r>
            <w:proofErr w:type="spellEnd"/>
            <w:r w:rsidR="008A4851" w:rsidRPr="008A4851">
              <w:rPr>
                <w:rFonts w:ascii="Open Sans" w:hAnsi="Open Sans"/>
                <w:sz w:val="24"/>
                <w:szCs w:val="24"/>
              </w:rPr>
              <w:t xml:space="preserve"> because:</w:t>
            </w:r>
          </w:p>
        </w:tc>
      </w:tr>
      <w:tr w:rsidR="008A4851" w:rsidRPr="00FE2464" w14:paraId="31076414" w14:textId="77777777" w:rsidTr="008A4851">
        <w:trPr>
          <w:trHeight w:val="1440"/>
          <w:jc w:val="center"/>
        </w:trPr>
        <w:tc>
          <w:tcPr>
            <w:tcW w:w="2157" w:type="dxa"/>
            <w:shd w:val="clear" w:color="auto" w:fill="D0CECE" w:themeFill="background2" w:themeFillShade="E6"/>
          </w:tcPr>
          <w:p w14:paraId="5CEE2460" w14:textId="0F790165" w:rsidR="002A2AA3" w:rsidRPr="00612388" w:rsidRDefault="008A4851" w:rsidP="00612388">
            <w:pPr>
              <w:rPr>
                <w:rFonts w:ascii="Open Sans" w:hAnsi="Open Sans"/>
                <w:sz w:val="24"/>
                <w:szCs w:val="24"/>
              </w:rPr>
            </w:pPr>
            <w:proofErr w:type="spellStart"/>
            <w:r w:rsidRPr="00BF57B1">
              <w:rPr>
                <w:rFonts w:ascii="Open Sans" w:hAnsi="Open Sans"/>
                <w:i/>
                <w:sz w:val="24"/>
                <w:szCs w:val="24"/>
              </w:rPr>
              <w:t>Kumho</w:t>
            </w:r>
            <w:proofErr w:type="spellEnd"/>
            <w:r w:rsidRPr="00BF57B1">
              <w:rPr>
                <w:rFonts w:ascii="Open Sans" w:hAnsi="Open Sans"/>
                <w:i/>
                <w:sz w:val="24"/>
                <w:szCs w:val="24"/>
              </w:rPr>
              <w:t xml:space="preserve"> Tire v. Carmichael</w:t>
            </w:r>
          </w:p>
        </w:tc>
        <w:tc>
          <w:tcPr>
            <w:tcW w:w="1621" w:type="dxa"/>
          </w:tcPr>
          <w:p w14:paraId="36F65C41" w14:textId="77777777" w:rsidR="002A2AA3" w:rsidRPr="00612388" w:rsidRDefault="002A2AA3" w:rsidP="00612388">
            <w:pPr>
              <w:jc w:val="center"/>
              <w:rPr>
                <w:rFonts w:ascii="Open Sans" w:hAnsi="Open Sans"/>
                <w:sz w:val="24"/>
                <w:szCs w:val="24"/>
              </w:rPr>
            </w:pPr>
          </w:p>
        </w:tc>
        <w:tc>
          <w:tcPr>
            <w:tcW w:w="1800" w:type="dxa"/>
          </w:tcPr>
          <w:p w14:paraId="4B8249A5" w14:textId="77777777" w:rsidR="008A4851" w:rsidRDefault="008A4851" w:rsidP="00612388">
            <w:pPr>
              <w:rPr>
                <w:rFonts w:ascii="Open Sans" w:hAnsi="Open Sans"/>
                <w:sz w:val="24"/>
                <w:szCs w:val="24"/>
              </w:rPr>
            </w:pPr>
            <w:r w:rsidRPr="008A4851">
              <w:rPr>
                <w:rFonts w:ascii="Open Sans" w:hAnsi="Open Sans"/>
                <w:sz w:val="24"/>
                <w:szCs w:val="24"/>
              </w:rPr>
              <w:t>526 U.</w:t>
            </w:r>
            <w:r>
              <w:rPr>
                <w:rFonts w:ascii="Open Sans" w:hAnsi="Open Sans"/>
                <w:sz w:val="24"/>
                <w:szCs w:val="24"/>
              </w:rPr>
              <w:t>S.</w:t>
            </w:r>
          </w:p>
          <w:p w14:paraId="7BF8E0A5" w14:textId="77777777" w:rsidR="008A4851" w:rsidRDefault="008A4851" w:rsidP="00612388">
            <w:pPr>
              <w:rPr>
                <w:rFonts w:ascii="Open Sans" w:hAnsi="Open Sans"/>
                <w:sz w:val="24"/>
                <w:szCs w:val="24"/>
              </w:rPr>
            </w:pPr>
            <w:r>
              <w:rPr>
                <w:rFonts w:ascii="Open Sans" w:hAnsi="Open Sans"/>
                <w:sz w:val="24"/>
                <w:szCs w:val="24"/>
              </w:rPr>
              <w:t>137, 119</w:t>
            </w:r>
          </w:p>
          <w:p w14:paraId="42D20A4B" w14:textId="77777777" w:rsidR="008A4851" w:rsidRDefault="008A4851" w:rsidP="00612388">
            <w:pPr>
              <w:rPr>
                <w:rFonts w:ascii="Open Sans" w:hAnsi="Open Sans"/>
                <w:sz w:val="24"/>
                <w:szCs w:val="24"/>
              </w:rPr>
            </w:pPr>
            <w:proofErr w:type="spellStart"/>
            <w:r>
              <w:rPr>
                <w:rFonts w:ascii="Open Sans" w:hAnsi="Open Sans"/>
                <w:sz w:val="24"/>
                <w:szCs w:val="24"/>
              </w:rPr>
              <w:t>S.Ct</w:t>
            </w:r>
            <w:proofErr w:type="spellEnd"/>
            <w:r>
              <w:rPr>
                <w:rFonts w:ascii="Open Sans" w:hAnsi="Open Sans"/>
                <w:sz w:val="24"/>
                <w:szCs w:val="24"/>
              </w:rPr>
              <w:t>. 1167,</w:t>
            </w:r>
          </w:p>
          <w:p w14:paraId="603BEF1B" w14:textId="0EE1B185" w:rsidR="008A4851" w:rsidRDefault="008A4851" w:rsidP="00612388">
            <w:pPr>
              <w:rPr>
                <w:rFonts w:ascii="Open Sans" w:hAnsi="Open Sans"/>
                <w:sz w:val="24"/>
                <w:szCs w:val="24"/>
              </w:rPr>
            </w:pPr>
            <w:r>
              <w:rPr>
                <w:rFonts w:ascii="Open Sans" w:hAnsi="Open Sans"/>
                <w:sz w:val="24"/>
                <w:szCs w:val="24"/>
              </w:rPr>
              <w:t>143 L. Ed.</w:t>
            </w:r>
          </w:p>
          <w:p w14:paraId="0363FFBB" w14:textId="77777777" w:rsidR="008A4851" w:rsidRDefault="008A4851" w:rsidP="00612388">
            <w:pPr>
              <w:rPr>
                <w:rFonts w:ascii="Open Sans" w:hAnsi="Open Sans"/>
                <w:sz w:val="24"/>
                <w:szCs w:val="24"/>
              </w:rPr>
            </w:pPr>
            <w:proofErr w:type="spellStart"/>
            <w:r>
              <w:rPr>
                <w:rFonts w:ascii="Open Sans" w:hAnsi="Open Sans"/>
                <w:sz w:val="24"/>
                <w:szCs w:val="24"/>
              </w:rPr>
              <w:t>2d</w:t>
            </w:r>
            <w:proofErr w:type="spellEnd"/>
            <w:r>
              <w:rPr>
                <w:rFonts w:ascii="Open Sans" w:hAnsi="Open Sans"/>
                <w:sz w:val="24"/>
                <w:szCs w:val="24"/>
              </w:rPr>
              <w:t xml:space="preserve"> 238 </w:t>
            </w:r>
          </w:p>
          <w:p w14:paraId="243DFA3D" w14:textId="2E565631" w:rsidR="002A2AA3" w:rsidRPr="00612388" w:rsidRDefault="008A4851" w:rsidP="00612388">
            <w:pPr>
              <w:rPr>
                <w:rFonts w:ascii="Open Sans" w:hAnsi="Open Sans"/>
                <w:sz w:val="24"/>
                <w:szCs w:val="24"/>
              </w:rPr>
            </w:pPr>
            <w:r w:rsidRPr="008A4851">
              <w:rPr>
                <w:rFonts w:ascii="Open Sans" w:hAnsi="Open Sans"/>
                <w:sz w:val="24"/>
                <w:szCs w:val="24"/>
              </w:rPr>
              <w:t>(1999)</w:t>
            </w:r>
            <w:r w:rsidRPr="008A4851">
              <w:rPr>
                <w:rFonts w:ascii="Open Sans" w:hAnsi="Open Sans"/>
                <w:sz w:val="24"/>
                <w:szCs w:val="24"/>
              </w:rPr>
              <w:tab/>
            </w:r>
          </w:p>
        </w:tc>
        <w:tc>
          <w:tcPr>
            <w:tcW w:w="2700" w:type="dxa"/>
          </w:tcPr>
          <w:p w14:paraId="78B5BAB7" w14:textId="77777777" w:rsidR="002A2AA3" w:rsidRPr="00612388" w:rsidRDefault="002A2AA3" w:rsidP="00612388">
            <w:pPr>
              <w:rPr>
                <w:rFonts w:ascii="Open Sans" w:hAnsi="Open Sans"/>
                <w:sz w:val="24"/>
                <w:szCs w:val="24"/>
              </w:rPr>
            </w:pPr>
          </w:p>
        </w:tc>
        <w:tc>
          <w:tcPr>
            <w:tcW w:w="2507" w:type="dxa"/>
          </w:tcPr>
          <w:p w14:paraId="6EC90666" w14:textId="77777777" w:rsidR="002A2AA3" w:rsidRPr="00612388" w:rsidRDefault="002A2AA3" w:rsidP="00612388">
            <w:pPr>
              <w:rPr>
                <w:rFonts w:ascii="Open Sans" w:hAnsi="Open Sans"/>
                <w:sz w:val="24"/>
                <w:szCs w:val="24"/>
              </w:rPr>
            </w:pPr>
          </w:p>
        </w:tc>
      </w:tr>
      <w:tr w:rsidR="008A4851" w:rsidRPr="00FE2464" w14:paraId="4763690E" w14:textId="77777777" w:rsidTr="008A4851">
        <w:trPr>
          <w:trHeight w:val="1440"/>
          <w:jc w:val="center"/>
        </w:trPr>
        <w:tc>
          <w:tcPr>
            <w:tcW w:w="2157" w:type="dxa"/>
            <w:shd w:val="clear" w:color="auto" w:fill="D0CECE" w:themeFill="background2" w:themeFillShade="E6"/>
          </w:tcPr>
          <w:p w14:paraId="039711D6" w14:textId="33D9B536" w:rsidR="002A2AA3" w:rsidRPr="00BF57B1" w:rsidRDefault="00BF57B1" w:rsidP="00612388">
            <w:pPr>
              <w:rPr>
                <w:rFonts w:ascii="Open Sans" w:hAnsi="Open Sans"/>
                <w:i/>
                <w:sz w:val="24"/>
                <w:szCs w:val="24"/>
              </w:rPr>
            </w:pPr>
            <w:r w:rsidRPr="00BF57B1">
              <w:rPr>
                <w:rFonts w:ascii="Open Sans" w:hAnsi="Open Sans"/>
                <w:i/>
                <w:noProof/>
                <w:sz w:val="24"/>
                <w:szCs w:val="24"/>
              </w:rPr>
              <w:t>United States v. Prime</w:t>
            </w:r>
          </w:p>
        </w:tc>
        <w:tc>
          <w:tcPr>
            <w:tcW w:w="1621" w:type="dxa"/>
          </w:tcPr>
          <w:p w14:paraId="5593E58E" w14:textId="49351880" w:rsidR="002A2AA3" w:rsidRPr="00612388" w:rsidRDefault="00612388" w:rsidP="00612388">
            <w:pPr>
              <w:jc w:val="center"/>
              <w:rPr>
                <w:rFonts w:ascii="Open Sans" w:hAnsi="Open Sans"/>
                <w:sz w:val="24"/>
                <w:szCs w:val="24"/>
              </w:rPr>
            </w:pPr>
            <w:r>
              <w:rPr>
                <w:rFonts w:ascii="Open Sans" w:hAnsi="Open Sans"/>
                <w:sz w:val="24"/>
                <w:szCs w:val="24"/>
              </w:rPr>
              <w:t>2002</w:t>
            </w:r>
          </w:p>
        </w:tc>
        <w:tc>
          <w:tcPr>
            <w:tcW w:w="1800" w:type="dxa"/>
          </w:tcPr>
          <w:p w14:paraId="25DA55E0" w14:textId="77777777" w:rsidR="002A2AA3" w:rsidRPr="00612388" w:rsidRDefault="002A2AA3" w:rsidP="00612388">
            <w:pPr>
              <w:rPr>
                <w:rFonts w:ascii="Open Sans" w:hAnsi="Open Sans"/>
                <w:sz w:val="24"/>
                <w:szCs w:val="24"/>
              </w:rPr>
            </w:pPr>
          </w:p>
        </w:tc>
        <w:tc>
          <w:tcPr>
            <w:tcW w:w="2700" w:type="dxa"/>
          </w:tcPr>
          <w:p w14:paraId="441D2B52" w14:textId="77777777" w:rsidR="002A2AA3" w:rsidRPr="00612388" w:rsidRDefault="002A2AA3" w:rsidP="00612388">
            <w:pPr>
              <w:rPr>
                <w:rFonts w:ascii="Open Sans" w:hAnsi="Open Sans"/>
                <w:sz w:val="24"/>
                <w:szCs w:val="24"/>
              </w:rPr>
            </w:pPr>
          </w:p>
        </w:tc>
        <w:tc>
          <w:tcPr>
            <w:tcW w:w="2507" w:type="dxa"/>
          </w:tcPr>
          <w:p w14:paraId="2E13C46E" w14:textId="575A1382" w:rsidR="002A2AA3" w:rsidRPr="00612388" w:rsidRDefault="00BF57B1" w:rsidP="00612388">
            <w:pPr>
              <w:rPr>
                <w:rFonts w:ascii="Open Sans" w:hAnsi="Open Sans"/>
                <w:sz w:val="24"/>
                <w:szCs w:val="24"/>
              </w:rPr>
            </w:pPr>
            <w:r w:rsidRPr="00BF57B1">
              <w:rPr>
                <w:rFonts w:ascii="Open Sans" w:hAnsi="Open Sans"/>
                <w:sz w:val="24"/>
                <w:szCs w:val="24"/>
              </w:rPr>
              <w:t>Handwriting experts recognized by Scotland Yard and the FBI. Forensics courses with handwriting analysis offered by 15 universities.</w:t>
            </w:r>
          </w:p>
        </w:tc>
      </w:tr>
    </w:tbl>
    <w:p w14:paraId="403E7DE0" w14:textId="3C1B4BA8" w:rsidR="002A2AA3" w:rsidRPr="0095365F" w:rsidRDefault="002A2AA3" w:rsidP="00912BE6">
      <w:pPr>
        <w:tabs>
          <w:tab w:val="left" w:pos="800"/>
        </w:tabs>
        <w:spacing w:after="0" w:line="360" w:lineRule="auto"/>
        <w:rPr>
          <w:rFonts w:ascii="Open Sans" w:hAnsi="Open Sans"/>
          <w:noProof/>
          <w:sz w:val="24"/>
          <w:szCs w:val="24"/>
        </w:rPr>
      </w:pPr>
    </w:p>
    <w:sectPr w:rsidR="002A2AA3" w:rsidRPr="0095365F"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A49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927">
              <w:rPr>
                <w:b/>
                <w:bCs/>
                <w:noProof/>
              </w:rPr>
              <w:t>2</w:t>
            </w:r>
            <w:r>
              <w:rPr>
                <w:b/>
                <w:bCs/>
                <w:sz w:val="24"/>
                <w:szCs w:val="24"/>
              </w:rPr>
              <w:fldChar w:fldCharType="end"/>
            </w:r>
          </w:p>
          <w:p w14:paraId="509DDEFB" w14:textId="77777777" w:rsidR="00E7721B" w:rsidRDefault="002A4927" w:rsidP="00E7721B">
            <w:pPr>
              <w:pStyle w:val="Footer"/>
              <w:jc w:val="center"/>
            </w:pPr>
          </w:p>
        </w:sdtContent>
      </w:sdt>
    </w:sdtContent>
  </w:sdt>
  <w:p w14:paraId="3F397A0D" w14:textId="7FDAB713" w:rsidR="00E90EFE" w:rsidRDefault="00E7721B" w:rsidP="002A4927">
    <w:pPr>
      <w:pStyle w:val="Footer"/>
    </w:pPr>
    <w:r w:rsidRPr="00754DDE">
      <w:rPr>
        <w:rFonts w:cstheme="minorHAnsi"/>
        <w:sz w:val="20"/>
        <w:szCs w:val="20"/>
      </w:rPr>
      <w:t>Copyrig</w:t>
    </w:r>
    <w:r>
      <w:rPr>
        <w:rFonts w:cstheme="minorHAnsi"/>
        <w:sz w:val="20"/>
        <w:szCs w:val="20"/>
      </w:rPr>
      <w:t>ht © Texas Education Agency</w:t>
    </w:r>
    <w:r w:rsidR="002A4927">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2A4927">
      <w:rPr>
        <w:rFonts w:cstheme="minorHAnsi"/>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p w14:paraId="2C95FEE6" w14:textId="77777777" w:rsidR="00E90EFE" w:rsidRDefault="00E90EF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902"/>
    <w:multiLevelType w:val="hybridMultilevel"/>
    <w:tmpl w:val="6B88C3EC"/>
    <w:lvl w:ilvl="0" w:tplc="E10E8DE6">
      <w:start w:val="1"/>
      <w:numFmt w:val="decimal"/>
      <w:lvlText w:val="%1."/>
      <w:lvlJc w:val="left"/>
    </w:lvl>
    <w:lvl w:ilvl="1" w:tplc="1B1E8C3E">
      <w:numFmt w:val="decimal"/>
      <w:lvlText w:val=""/>
      <w:lvlJc w:val="left"/>
    </w:lvl>
    <w:lvl w:ilvl="2" w:tplc="9F46DB4A">
      <w:numFmt w:val="decimal"/>
      <w:lvlText w:val=""/>
      <w:lvlJc w:val="left"/>
    </w:lvl>
    <w:lvl w:ilvl="3" w:tplc="32B0DCDE">
      <w:numFmt w:val="decimal"/>
      <w:lvlText w:val=""/>
      <w:lvlJc w:val="left"/>
    </w:lvl>
    <w:lvl w:ilvl="4" w:tplc="A9627FBA">
      <w:numFmt w:val="decimal"/>
      <w:lvlText w:val=""/>
      <w:lvlJc w:val="left"/>
    </w:lvl>
    <w:lvl w:ilvl="5" w:tplc="6172F140">
      <w:numFmt w:val="decimal"/>
      <w:lvlText w:val=""/>
      <w:lvlJc w:val="left"/>
    </w:lvl>
    <w:lvl w:ilvl="6" w:tplc="ED0A37D2">
      <w:numFmt w:val="decimal"/>
      <w:lvlText w:val=""/>
      <w:lvlJc w:val="left"/>
    </w:lvl>
    <w:lvl w:ilvl="7" w:tplc="C32618B6">
      <w:numFmt w:val="decimal"/>
      <w:lvlText w:val=""/>
      <w:lvlJc w:val="left"/>
    </w:lvl>
    <w:lvl w:ilvl="8" w:tplc="7FDCAE9E">
      <w:numFmt w:val="decimal"/>
      <w:lvlText w:val=""/>
      <w:lvlJc w:val="left"/>
    </w:lvl>
  </w:abstractNum>
  <w:abstractNum w:abstractNumId="1">
    <w:nsid w:val="00004230"/>
    <w:multiLevelType w:val="hybridMultilevel"/>
    <w:tmpl w:val="42D8C100"/>
    <w:lvl w:ilvl="0" w:tplc="BE8E01F2">
      <w:start w:val="1"/>
      <w:numFmt w:val="decimal"/>
      <w:lvlText w:val="%1."/>
      <w:lvlJc w:val="left"/>
    </w:lvl>
    <w:lvl w:ilvl="1" w:tplc="15001CC6">
      <w:numFmt w:val="decimal"/>
      <w:lvlText w:val=""/>
      <w:lvlJc w:val="left"/>
    </w:lvl>
    <w:lvl w:ilvl="2" w:tplc="1786BA56">
      <w:numFmt w:val="decimal"/>
      <w:lvlText w:val=""/>
      <w:lvlJc w:val="left"/>
    </w:lvl>
    <w:lvl w:ilvl="3" w:tplc="0B841D24">
      <w:numFmt w:val="decimal"/>
      <w:lvlText w:val=""/>
      <w:lvlJc w:val="left"/>
    </w:lvl>
    <w:lvl w:ilvl="4" w:tplc="3D32F162">
      <w:numFmt w:val="decimal"/>
      <w:lvlText w:val=""/>
      <w:lvlJc w:val="left"/>
    </w:lvl>
    <w:lvl w:ilvl="5" w:tplc="E78EC288">
      <w:numFmt w:val="decimal"/>
      <w:lvlText w:val=""/>
      <w:lvlJc w:val="left"/>
    </w:lvl>
    <w:lvl w:ilvl="6" w:tplc="8E8E6860">
      <w:numFmt w:val="decimal"/>
      <w:lvlText w:val=""/>
      <w:lvlJc w:val="left"/>
    </w:lvl>
    <w:lvl w:ilvl="7" w:tplc="BB3EC93A">
      <w:numFmt w:val="decimal"/>
      <w:lvlText w:val=""/>
      <w:lvlJc w:val="left"/>
    </w:lvl>
    <w:lvl w:ilvl="8" w:tplc="34D8AB68">
      <w:numFmt w:val="decimal"/>
      <w:lvlText w:val=""/>
      <w:lvlJc w:val="left"/>
    </w:lvl>
  </w:abstractNum>
  <w:abstractNum w:abstractNumId="2">
    <w:nsid w:val="0189107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5F54D1"/>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6B377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1823F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02272A"/>
    <w:multiLevelType w:val="multilevel"/>
    <w:tmpl w:val="C2D035FC"/>
    <w:lvl w:ilvl="0">
      <w:start w:val="12"/>
      <w:numFmt w:val="decimal"/>
      <w:lvlText w:val="%1)"/>
      <w:lvlJc w:val="left"/>
      <w:pPr>
        <w:ind w:left="360" w:hanging="360"/>
      </w:pPr>
      <w:rPr>
        <w:rFonts w:hint="default"/>
      </w:rPr>
    </w:lvl>
    <w:lvl w:ilvl="1">
      <w:start w:val="12"/>
      <w:numFmt w:val="decimal"/>
      <w:lvlText w:val="%2)"/>
      <w:lvlJc w:val="left"/>
      <w:pPr>
        <w:ind w:left="3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29A7319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4A3EE9"/>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E27AA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630513"/>
    <w:multiLevelType w:val="hybridMultilevel"/>
    <w:tmpl w:val="D4DA2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904515"/>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E550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6D7FC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A8560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F7007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F16D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B85BCA"/>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E5F143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B5370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EF7972"/>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9"/>
  </w:num>
  <w:num w:numId="4">
    <w:abstractNumId w:val="15"/>
  </w:num>
  <w:num w:numId="5">
    <w:abstractNumId w:val="12"/>
  </w:num>
  <w:num w:numId="6">
    <w:abstractNumId w:val="2"/>
  </w:num>
  <w:num w:numId="7">
    <w:abstractNumId w:val="16"/>
  </w:num>
  <w:num w:numId="8">
    <w:abstractNumId w:val="3"/>
  </w:num>
  <w:num w:numId="9">
    <w:abstractNumId w:val="17"/>
  </w:num>
  <w:num w:numId="10">
    <w:abstractNumId w:val="20"/>
  </w:num>
  <w:num w:numId="11">
    <w:abstractNumId w:val="11"/>
  </w:num>
  <w:num w:numId="12">
    <w:abstractNumId w:val="4"/>
  </w:num>
  <w:num w:numId="13">
    <w:abstractNumId w:val="19"/>
  </w:num>
  <w:num w:numId="14">
    <w:abstractNumId w:val="18"/>
  </w:num>
  <w:num w:numId="15">
    <w:abstractNumId w:val="5"/>
  </w:num>
  <w:num w:numId="16">
    <w:abstractNumId w:val="13"/>
  </w:num>
  <w:num w:numId="17">
    <w:abstractNumId w:val="8"/>
  </w:num>
  <w:num w:numId="18">
    <w:abstractNumId w:val="14"/>
  </w:num>
  <w:num w:numId="19">
    <w:abstractNumId w:val="7"/>
  </w:num>
  <w:num w:numId="20">
    <w:abstractNumId w:val="1"/>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7BCD"/>
    <w:rsid w:val="00055916"/>
    <w:rsid w:val="00055EE1"/>
    <w:rsid w:val="00086C2A"/>
    <w:rsid w:val="00144BB4"/>
    <w:rsid w:val="001E7AA7"/>
    <w:rsid w:val="00204CD4"/>
    <w:rsid w:val="002A2AA3"/>
    <w:rsid w:val="002A4927"/>
    <w:rsid w:val="002F7801"/>
    <w:rsid w:val="003B4392"/>
    <w:rsid w:val="003C3E68"/>
    <w:rsid w:val="003D49FF"/>
    <w:rsid w:val="00465A98"/>
    <w:rsid w:val="004C7226"/>
    <w:rsid w:val="005052E4"/>
    <w:rsid w:val="00524DD0"/>
    <w:rsid w:val="005E696E"/>
    <w:rsid w:val="00612388"/>
    <w:rsid w:val="006143D4"/>
    <w:rsid w:val="00676A46"/>
    <w:rsid w:val="006A1E92"/>
    <w:rsid w:val="00703108"/>
    <w:rsid w:val="007218E1"/>
    <w:rsid w:val="0073633F"/>
    <w:rsid w:val="007A1993"/>
    <w:rsid w:val="007F4150"/>
    <w:rsid w:val="0084406A"/>
    <w:rsid w:val="00846CF2"/>
    <w:rsid w:val="008475FF"/>
    <w:rsid w:val="008A4851"/>
    <w:rsid w:val="008A4D3D"/>
    <w:rsid w:val="008C29A4"/>
    <w:rsid w:val="00903BDB"/>
    <w:rsid w:val="00912BE6"/>
    <w:rsid w:val="0095365F"/>
    <w:rsid w:val="009606FD"/>
    <w:rsid w:val="009E0B38"/>
    <w:rsid w:val="009F7E4A"/>
    <w:rsid w:val="00AA02D5"/>
    <w:rsid w:val="00AD2CEF"/>
    <w:rsid w:val="00AF51DD"/>
    <w:rsid w:val="00B0214B"/>
    <w:rsid w:val="00B42BBA"/>
    <w:rsid w:val="00B643B3"/>
    <w:rsid w:val="00B96799"/>
    <w:rsid w:val="00BE44AD"/>
    <w:rsid w:val="00BF57B1"/>
    <w:rsid w:val="00C1126E"/>
    <w:rsid w:val="00C16070"/>
    <w:rsid w:val="00C80364"/>
    <w:rsid w:val="00D35E20"/>
    <w:rsid w:val="00DB4E85"/>
    <w:rsid w:val="00DE3A22"/>
    <w:rsid w:val="00DF55CE"/>
    <w:rsid w:val="00E7721B"/>
    <w:rsid w:val="00E81361"/>
    <w:rsid w:val="00E90EFE"/>
    <w:rsid w:val="00E935D4"/>
    <w:rsid w:val="00EA412D"/>
    <w:rsid w:val="00ED1021"/>
    <w:rsid w:val="00F122EB"/>
    <w:rsid w:val="00F37B39"/>
    <w:rsid w:val="00F45E83"/>
    <w:rsid w:val="00F51DB7"/>
    <w:rsid w:val="00F83422"/>
    <w:rsid w:val="00FE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2006/documentManagement/types"/>
    <ds:schemaRef ds:uri="http://purl.org/dc/dcmitype/"/>
    <ds:schemaRef ds:uri="http://www.w3.org/XML/1998/namespace"/>
    <ds:schemaRef ds:uri="56ea17bb-c96d-4826-b465-01eec0dd23dd"/>
    <ds:schemaRef ds:uri="http://schemas.microsoft.com/office/infopath/2007/PartnerControls"/>
    <ds:schemaRef ds:uri="http://purl.org/dc/terms/"/>
    <ds:schemaRef ds:uri="http://purl.org/dc/elements/1.1/"/>
    <ds:schemaRef ds:uri="http://schemas.openxmlformats.org/package/2006/metadata/core-properties"/>
    <ds:schemaRef ds:uri="05d88611-e516-4d1a-b12e-39107e78b3d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270</Words>
  <Characters>1540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2017-09-08T16:12:00Z</dcterms:created>
  <dcterms:modified xsi:type="dcterms:W3CDTF">2017-09-12T13:52:00Z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