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0C2A3" w14:textId="5B262DE5" w:rsidR="00055916" w:rsidRPr="00381FAD" w:rsidRDefault="00055916" w:rsidP="00C87165">
      <w:pPr>
        <w:tabs>
          <w:tab w:val="left" w:pos="154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381FAD">
        <w:rPr>
          <w:rFonts w:ascii="Open Sans" w:eastAsia="Arial" w:hAnsi="Open Sans" w:cs="Arial"/>
          <w:sz w:val="24"/>
          <w:szCs w:val="24"/>
        </w:rPr>
        <w:t>Name________________________________</w:t>
      </w:r>
      <w:r w:rsidRPr="00381FAD">
        <w:rPr>
          <w:rFonts w:ascii="Open Sans" w:eastAsia="Arial" w:hAnsi="Open Sans" w:cs="Arial"/>
          <w:sz w:val="24"/>
          <w:szCs w:val="24"/>
        </w:rPr>
        <w:tab/>
        <w:t>Date__________________________</w:t>
      </w:r>
    </w:p>
    <w:p w14:paraId="0F858DF8" w14:textId="77777777" w:rsidR="00C87165" w:rsidRPr="00381FAD" w:rsidRDefault="00C87165" w:rsidP="00C87165">
      <w:pPr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2C0F8BA" w14:textId="31F975D5" w:rsidR="00BE6790" w:rsidRPr="00381FAD" w:rsidRDefault="00BE6790" w:rsidP="00C87165">
      <w:pPr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proofErr w:type="gramStart"/>
      <w:r w:rsidRPr="00381FAD">
        <w:rPr>
          <w:rFonts w:ascii="Open Sans" w:eastAsia="Arial" w:hAnsi="Open Sans" w:cs="Arial"/>
          <w:b/>
          <w:bCs/>
          <w:sz w:val="24"/>
          <w:szCs w:val="24"/>
        </w:rPr>
        <w:t>Operating</w:t>
      </w:r>
      <w:proofErr w:type="gramEnd"/>
      <w:r w:rsidRPr="00381FAD">
        <w:rPr>
          <w:rFonts w:ascii="Open Sans" w:eastAsia="Arial" w:hAnsi="Open Sans" w:cs="Arial"/>
          <w:b/>
          <w:bCs/>
          <w:sz w:val="24"/>
          <w:szCs w:val="24"/>
        </w:rPr>
        <w:t xml:space="preserve"> a Dry Barrel Fire Hydrant Checklist</w:t>
      </w:r>
    </w:p>
    <w:p w14:paraId="55D605E3" w14:textId="1B5F57AB" w:rsidR="00C87165" w:rsidRPr="00381FAD" w:rsidRDefault="00C87165" w:rsidP="00381FAD">
      <w:pPr>
        <w:spacing w:after="0" w:line="246" w:lineRule="auto"/>
        <w:ind w:left="100" w:right="200"/>
        <w:rPr>
          <w:rFonts w:ascii="Open Sans" w:eastAsia="Times New Roman" w:hAnsi="Open Sans" w:cs="Times New Roman"/>
          <w:sz w:val="24"/>
          <w:szCs w:val="24"/>
        </w:rPr>
      </w:pPr>
      <w:r w:rsidRPr="00C87165">
        <w:rPr>
          <w:rFonts w:ascii="Open Sans" w:eastAsia="Arial" w:hAnsi="Open Sans" w:cs="Arial"/>
          <w:sz w:val="24"/>
          <w:szCs w:val="24"/>
        </w:rPr>
        <w:t xml:space="preserve">Directions – Using the hydrant, hydrant tools, and supply hose you are given, correctly connect </w:t>
      </w:r>
      <w:proofErr w:type="gramStart"/>
      <w:r w:rsidRPr="00C87165">
        <w:rPr>
          <w:rFonts w:ascii="Open Sans" w:eastAsia="Arial" w:hAnsi="Open Sans" w:cs="Arial"/>
          <w:sz w:val="24"/>
          <w:szCs w:val="24"/>
        </w:rPr>
        <w:t>to</w:t>
      </w:r>
      <w:proofErr w:type="gramEnd"/>
      <w:r w:rsidRPr="00C87165">
        <w:rPr>
          <w:rFonts w:ascii="Open Sans" w:eastAsia="Arial" w:hAnsi="Open Sans" w:cs="Arial"/>
          <w:sz w:val="24"/>
          <w:szCs w:val="24"/>
        </w:rPr>
        <w:t xml:space="preserve"> and operate the fire hydrant while wearing Personal Protective Equipment (PPE). You will begin on my instructions to start. The skill will end when you </w:t>
      </w:r>
      <w:proofErr w:type="gramStart"/>
      <w:r w:rsidRPr="00C87165">
        <w:rPr>
          <w:rFonts w:ascii="Open Sans" w:eastAsia="Arial" w:hAnsi="Open Sans" w:cs="Arial"/>
          <w:sz w:val="24"/>
          <w:szCs w:val="24"/>
        </w:rPr>
        <w:t>state</w:t>
      </w:r>
      <w:proofErr w:type="gramEnd"/>
      <w:r w:rsidRPr="00C87165">
        <w:rPr>
          <w:rFonts w:ascii="Open Sans" w:eastAsia="Arial" w:hAnsi="Open Sans" w:cs="Arial"/>
          <w:sz w:val="24"/>
          <w:szCs w:val="24"/>
        </w:rPr>
        <w:t xml:space="preserve"> to me that you have completed all of the identified steps. Do you understand these instructions?</w:t>
      </w:r>
    </w:p>
    <w:p w14:paraId="7989B649" w14:textId="77777777" w:rsidR="00C87165" w:rsidRPr="00381FAD" w:rsidRDefault="00C87165" w:rsidP="00C87165">
      <w:pPr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595"/>
      </w:tblGrid>
      <w:tr w:rsidR="00C87165" w:rsidRPr="00381FAD" w14:paraId="39081FD1" w14:textId="77777777" w:rsidTr="00240AD9">
        <w:trPr>
          <w:trHeight w:val="368"/>
        </w:trPr>
        <w:tc>
          <w:tcPr>
            <w:tcW w:w="8275" w:type="dxa"/>
            <w:shd w:val="clear" w:color="auto" w:fill="000000" w:themeFill="text1"/>
          </w:tcPr>
          <w:p w14:paraId="18ED7241" w14:textId="70F19F1C" w:rsidR="00C87165" w:rsidRPr="00381FAD" w:rsidRDefault="00381FAD" w:rsidP="00240AD9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 xml:space="preserve">Performance </w:t>
            </w:r>
            <w:proofErr w:type="gramStart"/>
            <w:r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Objectives</w:t>
            </w:r>
            <w:proofErr w:type="gramEnd"/>
          </w:p>
        </w:tc>
        <w:tc>
          <w:tcPr>
            <w:tcW w:w="1595" w:type="dxa"/>
            <w:shd w:val="clear" w:color="auto" w:fill="000000" w:themeFill="text1"/>
          </w:tcPr>
          <w:p w14:paraId="6844F8C2" w14:textId="77777777" w:rsidR="00C87165" w:rsidRPr="00381FAD" w:rsidRDefault="00C87165" w:rsidP="00240AD9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1 Pt. each</w:t>
            </w:r>
          </w:p>
        </w:tc>
      </w:tr>
      <w:tr w:rsidR="00C87165" w:rsidRPr="00381FAD" w14:paraId="4BDE9399" w14:textId="77777777" w:rsidTr="00240AD9">
        <w:tc>
          <w:tcPr>
            <w:tcW w:w="8275" w:type="dxa"/>
          </w:tcPr>
          <w:p w14:paraId="07B959A4" w14:textId="43163092" w:rsidR="00C87165" w:rsidRPr="00381FAD" w:rsidRDefault="00C87165" w:rsidP="00C87165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381FAD">
              <w:rPr>
                <w:rFonts w:ascii="Open Sans" w:hAnsi="Open Sans"/>
                <w:sz w:val="24"/>
                <w:szCs w:val="24"/>
              </w:rPr>
              <w:t xml:space="preserve">Wrap the hydrant with </w:t>
            </w:r>
            <w:proofErr w:type="gramStart"/>
            <w:r w:rsidRPr="00381FAD">
              <w:rPr>
                <w:rFonts w:ascii="Open Sans" w:hAnsi="Open Sans"/>
                <w:sz w:val="24"/>
                <w:szCs w:val="24"/>
              </w:rPr>
              <w:t>a sufficient</w:t>
            </w:r>
            <w:proofErr w:type="gramEnd"/>
            <w:r w:rsidRPr="00381FAD">
              <w:rPr>
                <w:rFonts w:ascii="Open Sans" w:hAnsi="Open Sans"/>
                <w:sz w:val="24"/>
                <w:szCs w:val="24"/>
              </w:rPr>
              <w:t xml:space="preserve"> amount of hose to secure the hose, as the fire apparatus proceeds to the emergency scene (simulate)</w:t>
            </w:r>
          </w:p>
        </w:tc>
        <w:tc>
          <w:tcPr>
            <w:tcW w:w="1595" w:type="dxa"/>
          </w:tcPr>
          <w:p w14:paraId="6CB08B58" w14:textId="77777777" w:rsidR="00C87165" w:rsidRPr="00381FAD" w:rsidRDefault="00C87165" w:rsidP="00240AD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C87165" w:rsidRPr="00381FAD" w14:paraId="6C3826BB" w14:textId="77777777" w:rsidTr="00240AD9">
        <w:trPr>
          <w:trHeight w:val="647"/>
        </w:trPr>
        <w:tc>
          <w:tcPr>
            <w:tcW w:w="8275" w:type="dxa"/>
          </w:tcPr>
          <w:p w14:paraId="34D12C53" w14:textId="66F0591E" w:rsidR="00C87165" w:rsidRPr="00381FAD" w:rsidRDefault="00C87165" w:rsidP="00C87165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381FAD">
              <w:rPr>
                <w:rFonts w:ascii="Open Sans" w:hAnsi="Open Sans"/>
                <w:sz w:val="24"/>
                <w:szCs w:val="24"/>
              </w:rPr>
              <w:t xml:space="preserve">Tighten the hydrant outlet caps that will not be </w:t>
            </w:r>
            <w:proofErr w:type="gramStart"/>
            <w:r w:rsidRPr="00381FAD">
              <w:rPr>
                <w:rFonts w:ascii="Open Sans" w:hAnsi="Open Sans"/>
                <w:sz w:val="24"/>
                <w:szCs w:val="24"/>
              </w:rPr>
              <w:t>utilized</w:t>
            </w:r>
            <w:proofErr w:type="gramEnd"/>
            <w:r w:rsidRPr="00381FAD">
              <w:rPr>
                <w:rFonts w:ascii="Open Sans" w:hAnsi="Open Sans"/>
                <w:sz w:val="24"/>
                <w:szCs w:val="24"/>
              </w:rPr>
              <w:t xml:space="preserve"> (this is a safety precaution)</w:t>
            </w:r>
          </w:p>
        </w:tc>
        <w:tc>
          <w:tcPr>
            <w:tcW w:w="1595" w:type="dxa"/>
          </w:tcPr>
          <w:p w14:paraId="579E3A87" w14:textId="77777777" w:rsidR="00C87165" w:rsidRPr="00381FAD" w:rsidRDefault="00C87165" w:rsidP="00240AD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C87165" w:rsidRPr="00381FAD" w14:paraId="6F53ED9B" w14:textId="77777777" w:rsidTr="00240AD9">
        <w:trPr>
          <w:trHeight w:val="647"/>
        </w:trPr>
        <w:tc>
          <w:tcPr>
            <w:tcW w:w="8275" w:type="dxa"/>
          </w:tcPr>
          <w:p w14:paraId="4132BE08" w14:textId="33B303E1" w:rsidR="00C87165" w:rsidRPr="00381FAD" w:rsidRDefault="00C87165" w:rsidP="00381FAD">
            <w:pPr>
              <w:spacing w:line="274" w:lineRule="auto"/>
              <w:ind w:right="27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C87165">
              <w:rPr>
                <w:rFonts w:ascii="Open Sans" w:eastAsia="Arial" w:hAnsi="Open Sans" w:cs="Arial"/>
                <w:sz w:val="24"/>
                <w:szCs w:val="24"/>
              </w:rPr>
              <w:t>Turn the cap nut counterclockwise and remove the cap from the hydrant</w:t>
            </w:r>
          </w:p>
        </w:tc>
        <w:tc>
          <w:tcPr>
            <w:tcW w:w="1595" w:type="dxa"/>
          </w:tcPr>
          <w:p w14:paraId="52B11A89" w14:textId="77777777" w:rsidR="00C87165" w:rsidRPr="00381FAD" w:rsidRDefault="00C87165" w:rsidP="00240AD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C87165" w:rsidRPr="00381FAD" w14:paraId="3229D3E2" w14:textId="77777777" w:rsidTr="00240AD9">
        <w:tc>
          <w:tcPr>
            <w:tcW w:w="8275" w:type="dxa"/>
          </w:tcPr>
          <w:p w14:paraId="01CF4C79" w14:textId="18F9C379" w:rsidR="00C87165" w:rsidRPr="00381FAD" w:rsidRDefault="00C87165" w:rsidP="00C87165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C87165">
              <w:rPr>
                <w:rFonts w:ascii="Open Sans" w:eastAsia="Arial" w:hAnsi="Open Sans" w:cs="Arial"/>
                <w:sz w:val="24"/>
                <w:szCs w:val="24"/>
              </w:rPr>
              <w:t>Connect the female coupling to the hydrant outlet</w:t>
            </w:r>
          </w:p>
        </w:tc>
        <w:tc>
          <w:tcPr>
            <w:tcW w:w="1595" w:type="dxa"/>
          </w:tcPr>
          <w:p w14:paraId="08B5667F" w14:textId="77777777" w:rsidR="00C87165" w:rsidRPr="00381FAD" w:rsidRDefault="00C87165" w:rsidP="00240AD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C87165" w:rsidRPr="00381FAD" w14:paraId="73674AA0" w14:textId="77777777" w:rsidTr="00381FAD">
        <w:trPr>
          <w:trHeight w:val="323"/>
        </w:trPr>
        <w:tc>
          <w:tcPr>
            <w:tcW w:w="8275" w:type="dxa"/>
          </w:tcPr>
          <w:p w14:paraId="09B242FD" w14:textId="6A8F964C" w:rsidR="00C87165" w:rsidRPr="00381FAD" w:rsidRDefault="00C87165" w:rsidP="00381FAD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C87165">
              <w:rPr>
                <w:rFonts w:ascii="Open Sans" w:eastAsia="Arial" w:hAnsi="Open Sans" w:cs="Arial"/>
                <w:sz w:val="24"/>
                <w:szCs w:val="24"/>
              </w:rPr>
              <w:t>Wait for the water signal from the apparatus driver/engineer</w:t>
            </w:r>
          </w:p>
        </w:tc>
        <w:tc>
          <w:tcPr>
            <w:tcW w:w="1595" w:type="dxa"/>
          </w:tcPr>
          <w:p w14:paraId="16C0897D" w14:textId="77777777" w:rsidR="00C87165" w:rsidRPr="00381FAD" w:rsidRDefault="00C87165" w:rsidP="00240AD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C87165" w:rsidRPr="00381FAD" w14:paraId="48CE1C82" w14:textId="77777777" w:rsidTr="00240AD9">
        <w:trPr>
          <w:trHeight w:val="251"/>
        </w:trPr>
        <w:tc>
          <w:tcPr>
            <w:tcW w:w="8275" w:type="dxa"/>
          </w:tcPr>
          <w:p w14:paraId="5CA6C5E3" w14:textId="4B8A8403" w:rsidR="00C87165" w:rsidRPr="00381FAD" w:rsidRDefault="00381FAD" w:rsidP="00381FAD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381FAD">
              <w:rPr>
                <w:rFonts w:ascii="Open Sans" w:eastAsia="Arial" w:hAnsi="Open Sans" w:cs="Arial"/>
                <w:sz w:val="24"/>
                <w:szCs w:val="24"/>
              </w:rPr>
              <w:t>Open the hydrant fully, turning the stem nut counterclockwise</w:t>
            </w:r>
          </w:p>
        </w:tc>
        <w:tc>
          <w:tcPr>
            <w:tcW w:w="1595" w:type="dxa"/>
          </w:tcPr>
          <w:p w14:paraId="05026AF6" w14:textId="77777777" w:rsidR="00C87165" w:rsidRPr="00381FAD" w:rsidRDefault="00C87165" w:rsidP="00240AD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C87165" w:rsidRPr="00381FAD" w14:paraId="1268C3FB" w14:textId="77777777" w:rsidTr="00240AD9">
        <w:trPr>
          <w:trHeight w:val="251"/>
        </w:trPr>
        <w:tc>
          <w:tcPr>
            <w:tcW w:w="8275" w:type="dxa"/>
          </w:tcPr>
          <w:p w14:paraId="26288976" w14:textId="11930C56" w:rsidR="00C87165" w:rsidRPr="00381FAD" w:rsidRDefault="00381FAD" w:rsidP="00381FAD">
            <w:pPr>
              <w:rPr>
                <w:rFonts w:ascii="Open Sans" w:hAnsi="Open Sans"/>
                <w:sz w:val="24"/>
                <w:szCs w:val="24"/>
              </w:rPr>
            </w:pPr>
            <w:r w:rsidRPr="00381FAD">
              <w:rPr>
                <w:rFonts w:ascii="Open Sans" w:eastAsia="Arial" w:hAnsi="Open Sans" w:cs="Arial"/>
                <w:sz w:val="24"/>
                <w:szCs w:val="24"/>
              </w:rPr>
              <w:t xml:space="preserve">Close the hydrant fully, turning </w:t>
            </w:r>
            <w:bookmarkStart w:id="0" w:name="_GoBack"/>
            <w:bookmarkEnd w:id="0"/>
            <w:r w:rsidRPr="00381FAD">
              <w:rPr>
                <w:rFonts w:ascii="Open Sans" w:eastAsia="Arial" w:hAnsi="Open Sans" w:cs="Arial"/>
                <w:sz w:val="24"/>
                <w:szCs w:val="24"/>
              </w:rPr>
              <w:t>the stem nut clockwise</w:t>
            </w:r>
          </w:p>
        </w:tc>
        <w:tc>
          <w:tcPr>
            <w:tcW w:w="1595" w:type="dxa"/>
          </w:tcPr>
          <w:p w14:paraId="7C2E2C5C" w14:textId="77777777" w:rsidR="00C87165" w:rsidRPr="00381FAD" w:rsidRDefault="00C87165" w:rsidP="00240AD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C87165" w:rsidRPr="00381FAD" w14:paraId="15359D28" w14:textId="77777777" w:rsidTr="00240AD9">
        <w:trPr>
          <w:trHeight w:val="251"/>
        </w:trPr>
        <w:tc>
          <w:tcPr>
            <w:tcW w:w="8275" w:type="dxa"/>
          </w:tcPr>
          <w:p w14:paraId="58331FB7" w14:textId="5BA38DD7" w:rsidR="00C87165" w:rsidRPr="00381FAD" w:rsidRDefault="00381FAD" w:rsidP="00381FAD">
            <w:pPr>
              <w:spacing w:line="274" w:lineRule="auto"/>
              <w:ind w:right="1780"/>
              <w:rPr>
                <w:rFonts w:ascii="Open Sans" w:hAnsi="Open Sans"/>
                <w:sz w:val="24"/>
                <w:szCs w:val="24"/>
              </w:rPr>
            </w:pPr>
            <w:r w:rsidRPr="00381FAD">
              <w:rPr>
                <w:rFonts w:ascii="Open Sans" w:eastAsia="Arial" w:hAnsi="Open Sans" w:cs="Arial"/>
                <w:sz w:val="24"/>
                <w:szCs w:val="24"/>
              </w:rPr>
              <w:t>Replace the cap back on the hydrant outlet, turning the outlet nut in a clockwise direction</w:t>
            </w:r>
          </w:p>
        </w:tc>
        <w:tc>
          <w:tcPr>
            <w:tcW w:w="1595" w:type="dxa"/>
          </w:tcPr>
          <w:p w14:paraId="3C549DC7" w14:textId="77777777" w:rsidR="00C87165" w:rsidRPr="00381FAD" w:rsidRDefault="00C87165" w:rsidP="00240AD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C87165" w:rsidRPr="00381FAD" w14:paraId="795E1460" w14:textId="77777777" w:rsidTr="00240AD9">
        <w:trPr>
          <w:trHeight w:val="251"/>
        </w:trPr>
        <w:tc>
          <w:tcPr>
            <w:tcW w:w="8275" w:type="dxa"/>
          </w:tcPr>
          <w:p w14:paraId="44DAD468" w14:textId="0DE674F4" w:rsidR="00C87165" w:rsidRPr="00381FAD" w:rsidRDefault="00381FAD" w:rsidP="00381FAD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381FAD">
              <w:rPr>
                <w:rFonts w:ascii="Open Sans" w:hAnsi="Open Sans"/>
                <w:sz w:val="24"/>
                <w:szCs w:val="24"/>
              </w:rPr>
              <w:t>Drain the supply line</w:t>
            </w:r>
          </w:p>
        </w:tc>
        <w:tc>
          <w:tcPr>
            <w:tcW w:w="1595" w:type="dxa"/>
          </w:tcPr>
          <w:p w14:paraId="1A13818F" w14:textId="77777777" w:rsidR="00C87165" w:rsidRPr="00381FAD" w:rsidRDefault="00C87165" w:rsidP="00240AD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C87165" w:rsidRPr="00381FAD" w14:paraId="39FA0703" w14:textId="77777777" w:rsidTr="00240AD9">
        <w:trPr>
          <w:trHeight w:val="251"/>
        </w:trPr>
        <w:tc>
          <w:tcPr>
            <w:tcW w:w="8275" w:type="dxa"/>
          </w:tcPr>
          <w:p w14:paraId="2940A761" w14:textId="5388640C" w:rsidR="00C87165" w:rsidRPr="00381FAD" w:rsidRDefault="00381FAD" w:rsidP="00381FAD">
            <w:pPr>
              <w:tabs>
                <w:tab w:val="left" w:pos="2100"/>
              </w:tabs>
              <w:ind w:right="-119"/>
              <w:rPr>
                <w:rFonts w:ascii="Open Sans" w:hAnsi="Open Sans"/>
                <w:sz w:val="24"/>
                <w:szCs w:val="24"/>
              </w:rPr>
            </w:pPr>
            <w:r w:rsidRPr="00381FAD">
              <w:rPr>
                <w:rFonts w:ascii="Open Sans" w:hAnsi="Open Sans"/>
                <w:sz w:val="24"/>
                <w:szCs w:val="24"/>
              </w:rPr>
              <w:t>Roll the hose section that was used into a donut roll, and return it to the apparatus</w:t>
            </w:r>
          </w:p>
        </w:tc>
        <w:tc>
          <w:tcPr>
            <w:tcW w:w="1595" w:type="dxa"/>
          </w:tcPr>
          <w:p w14:paraId="3061FB7F" w14:textId="77777777" w:rsidR="00C87165" w:rsidRPr="00381FAD" w:rsidRDefault="00C87165" w:rsidP="00240AD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C87165" w:rsidRPr="00381FAD" w14:paraId="7659D383" w14:textId="77777777" w:rsidTr="00240AD9">
        <w:trPr>
          <w:trHeight w:val="251"/>
        </w:trPr>
        <w:tc>
          <w:tcPr>
            <w:tcW w:w="8275" w:type="dxa"/>
            <w:shd w:val="clear" w:color="auto" w:fill="7F7F7F" w:themeFill="text1" w:themeFillTint="80"/>
          </w:tcPr>
          <w:p w14:paraId="4E8BE124" w14:textId="7D5BBF22" w:rsidR="00C87165" w:rsidRPr="00381FAD" w:rsidRDefault="00C87165" w:rsidP="00240AD9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sz w:val="24"/>
                <w:szCs w:val="24"/>
              </w:rPr>
              <w:t>Total points possible – 10</w:t>
            </w:r>
          </w:p>
        </w:tc>
        <w:tc>
          <w:tcPr>
            <w:tcW w:w="1595" w:type="dxa"/>
            <w:shd w:val="clear" w:color="auto" w:fill="7F7F7F" w:themeFill="text1" w:themeFillTint="80"/>
          </w:tcPr>
          <w:p w14:paraId="6748FE8A" w14:textId="77777777" w:rsidR="00C87165" w:rsidRPr="00381FAD" w:rsidRDefault="00C87165" w:rsidP="00240AD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3AD38FAB" w14:textId="07D25B8F" w:rsidR="00C87165" w:rsidRPr="00381FAD" w:rsidRDefault="00C87165" w:rsidP="00C87165">
      <w:pPr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p w14:paraId="3E2CC420" w14:textId="77777777" w:rsidR="00C87165" w:rsidRDefault="00C87165" w:rsidP="00C87165">
      <w:pPr>
        <w:spacing w:line="200" w:lineRule="exact"/>
        <w:rPr>
          <w:rFonts w:ascii="Open Sans" w:hAnsi="Open Sans"/>
          <w:sz w:val="24"/>
          <w:szCs w:val="24"/>
        </w:rPr>
      </w:pPr>
    </w:p>
    <w:p w14:paraId="75A89EE9" w14:textId="77777777" w:rsidR="00381FAD" w:rsidRPr="00381FAD" w:rsidRDefault="00381FAD" w:rsidP="00C87165">
      <w:pPr>
        <w:spacing w:line="200" w:lineRule="exact"/>
        <w:rPr>
          <w:rFonts w:ascii="Open Sans" w:hAnsi="Open Sans"/>
          <w:sz w:val="24"/>
          <w:szCs w:val="24"/>
        </w:rPr>
      </w:pPr>
    </w:p>
    <w:p w14:paraId="566CC322" w14:textId="77777777" w:rsidR="00C87165" w:rsidRPr="00381FAD" w:rsidRDefault="00C87165" w:rsidP="00C87165">
      <w:pPr>
        <w:spacing w:line="202" w:lineRule="exact"/>
        <w:rPr>
          <w:rFonts w:ascii="Open Sans" w:hAnsi="Open Sans"/>
          <w:sz w:val="24"/>
          <w:szCs w:val="24"/>
        </w:rPr>
      </w:pPr>
      <w:r w:rsidRPr="00381FAD">
        <w:rPr>
          <w:rFonts w:ascii="Open Sans" w:eastAsia="Arial" w:hAnsi="Open Sans" w:cs="Arial"/>
          <w:sz w:val="24"/>
          <w:szCs w:val="24"/>
        </w:rPr>
        <w:t>_____________________________________________________________________________________</w:t>
      </w:r>
    </w:p>
    <w:p w14:paraId="2586E271" w14:textId="77777777" w:rsidR="00C87165" w:rsidRPr="00381FAD" w:rsidRDefault="00C87165" w:rsidP="00C87165">
      <w:pPr>
        <w:tabs>
          <w:tab w:val="left" w:pos="5840"/>
        </w:tabs>
        <w:rPr>
          <w:rFonts w:ascii="Open Sans" w:hAnsi="Open Sans"/>
          <w:sz w:val="24"/>
          <w:szCs w:val="24"/>
        </w:rPr>
      </w:pPr>
      <w:r w:rsidRPr="00381FAD">
        <w:rPr>
          <w:rFonts w:ascii="Open Sans" w:eastAsia="Arial" w:hAnsi="Open Sans" w:cs="Arial"/>
          <w:b/>
          <w:bCs/>
          <w:sz w:val="24"/>
          <w:szCs w:val="24"/>
        </w:rPr>
        <w:t>Instructor’s Signature</w:t>
      </w:r>
      <w:r w:rsidRPr="00381FAD">
        <w:rPr>
          <w:rFonts w:ascii="Open Sans" w:hAnsi="Open Sans"/>
          <w:sz w:val="24"/>
          <w:szCs w:val="24"/>
        </w:rPr>
        <w:tab/>
      </w:r>
      <w:r w:rsidRPr="00381FAD">
        <w:rPr>
          <w:rFonts w:ascii="Open Sans" w:eastAsia="Arial" w:hAnsi="Open Sans" w:cs="Arial"/>
          <w:b/>
          <w:bCs/>
          <w:sz w:val="24"/>
          <w:szCs w:val="24"/>
        </w:rPr>
        <w:t>Date</w:t>
      </w:r>
    </w:p>
    <w:p w14:paraId="3A951129" w14:textId="77777777" w:rsidR="00C87165" w:rsidRPr="00381FAD" w:rsidRDefault="00C87165" w:rsidP="00BE6790">
      <w:pPr>
        <w:pStyle w:val="ListParagraph"/>
        <w:spacing w:line="246" w:lineRule="auto"/>
        <w:ind w:left="360" w:right="200"/>
        <w:rPr>
          <w:rFonts w:ascii="Open Sans" w:hAnsi="Open Sans"/>
          <w:sz w:val="24"/>
          <w:szCs w:val="24"/>
        </w:rPr>
      </w:pPr>
    </w:p>
    <w:p w14:paraId="592C7244" w14:textId="75CFC29C" w:rsidR="009F42F1" w:rsidRPr="00381FAD" w:rsidRDefault="009F42F1" w:rsidP="00C87165">
      <w:p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9F42F1" w:rsidRPr="00381FA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3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3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F43357" w:rsidP="00E7721B">
            <w:pPr>
              <w:pStyle w:val="Footer"/>
              <w:jc w:val="center"/>
            </w:pPr>
          </w:p>
        </w:sdtContent>
      </w:sdt>
    </w:sdtContent>
  </w:sdt>
  <w:p w14:paraId="681B5F41" w14:textId="1BCF6621" w:rsidR="006105AC" w:rsidRDefault="00E7721B" w:rsidP="00C87165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43357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F43357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1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2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FC3540"/>
    <w:multiLevelType w:val="hybridMultilevel"/>
    <w:tmpl w:val="E56C2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8A4"/>
    <w:rsid w:val="00144BB4"/>
    <w:rsid w:val="001E7AA7"/>
    <w:rsid w:val="00204CD4"/>
    <w:rsid w:val="002F7801"/>
    <w:rsid w:val="00381FAD"/>
    <w:rsid w:val="003B4392"/>
    <w:rsid w:val="003C3E68"/>
    <w:rsid w:val="003D49FF"/>
    <w:rsid w:val="00416BF9"/>
    <w:rsid w:val="00465A98"/>
    <w:rsid w:val="004C7226"/>
    <w:rsid w:val="005052E4"/>
    <w:rsid w:val="00524DD0"/>
    <w:rsid w:val="005E696E"/>
    <w:rsid w:val="006105AC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606FD"/>
    <w:rsid w:val="009E0B38"/>
    <w:rsid w:val="009F42F1"/>
    <w:rsid w:val="009F7E4A"/>
    <w:rsid w:val="00A41432"/>
    <w:rsid w:val="00AA02D5"/>
    <w:rsid w:val="00AD2CEF"/>
    <w:rsid w:val="00B0214B"/>
    <w:rsid w:val="00B643B3"/>
    <w:rsid w:val="00B96799"/>
    <w:rsid w:val="00BA376D"/>
    <w:rsid w:val="00BB66C7"/>
    <w:rsid w:val="00BE6790"/>
    <w:rsid w:val="00C1126E"/>
    <w:rsid w:val="00C16070"/>
    <w:rsid w:val="00C80364"/>
    <w:rsid w:val="00C87165"/>
    <w:rsid w:val="00DB4E85"/>
    <w:rsid w:val="00DE3A22"/>
    <w:rsid w:val="00E7721B"/>
    <w:rsid w:val="00E935D4"/>
    <w:rsid w:val="00EA412D"/>
    <w:rsid w:val="00EC2133"/>
    <w:rsid w:val="00EC6EB6"/>
    <w:rsid w:val="00ED1021"/>
    <w:rsid w:val="00F122EB"/>
    <w:rsid w:val="00F37B39"/>
    <w:rsid w:val="00F43357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3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www.w3.org/XML/1998/namespace"/>
    <ds:schemaRef ds:uri="http://purl.org/dc/elements/1.1/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56ea17bb-c96d-4826-b465-01eec0dd23d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2017-09-11T19:07:00Z</dcterms:created>
  <dcterms:modified xsi:type="dcterms:W3CDTF">2017-09-12T13:24:00Z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