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1A1881FA"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0C04D0">
        <w:rPr>
          <w:rFonts w:cs="Open Sans"/>
          <w:szCs w:val="36"/>
        </w:rPr>
        <w:t>6: Assessment</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0409E40A"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0C04D0">
        <w:t>135</w:t>
      </w:r>
      <w:r w:rsidR="00486534">
        <w:t xml:space="preserve">0 </w:t>
      </w:r>
      <w:r w:rsidR="00486534" w:rsidRPr="00152891">
        <w:t>Minutes</w:t>
      </w:r>
      <w:r w:rsidR="00486534">
        <w:t>/1</w:t>
      </w:r>
      <w:r w:rsidR="000C04D0">
        <w:t>5</w:t>
      </w:r>
      <w:r w:rsidR="00486534">
        <w:t xml:space="preserve"> 90</w:t>
      </w:r>
      <w:r w:rsidR="00486534" w:rsidRPr="00152891">
        <w:t>-Minute Periods</w:t>
      </w:r>
    </w:p>
    <w:p w14:paraId="4BBDE9C2" w14:textId="4066A127" w:rsidR="008B0312" w:rsidRDefault="008B0312" w:rsidP="001A2D85">
      <w:pPr>
        <w:pStyle w:val="Heading1"/>
      </w:pPr>
      <w:r>
        <w:t>Unit Overview</w:t>
      </w:r>
    </w:p>
    <w:p w14:paraId="51E74BE9" w14:textId="0E36A4DD" w:rsidR="000C04D0" w:rsidRDefault="000C04D0" w:rsidP="000C04D0">
      <w:pPr>
        <w:spacing w:before="0" w:after="0"/>
        <w:rPr>
          <w:rFonts w:cs="Open Sans"/>
        </w:rPr>
      </w:pPr>
      <w:r w:rsidRPr="00230D18">
        <w:rPr>
          <w:rFonts w:cs="Open Sans"/>
        </w:rPr>
        <w:t xml:space="preserve">Students will </w:t>
      </w:r>
      <w:r>
        <w:rPr>
          <w:rFonts w:cs="Open Sans"/>
        </w:rPr>
        <w:t>a</w:t>
      </w:r>
      <w:r w:rsidRPr="00230D18">
        <w:rPr>
          <w:rFonts w:cs="Open Sans"/>
        </w:rPr>
        <w:t xml:space="preserve">nalyze and explain </w:t>
      </w:r>
      <w:r>
        <w:rPr>
          <w:rFonts w:cs="Open Sans"/>
        </w:rPr>
        <w:t xml:space="preserve">samples of </w:t>
      </w:r>
      <w:r w:rsidRPr="00230D18">
        <w:rPr>
          <w:rFonts w:cs="Open Sans"/>
        </w:rPr>
        <w:t xml:space="preserve">assessment data </w:t>
      </w:r>
      <w:r>
        <w:rPr>
          <w:rFonts w:cs="Open Sans"/>
        </w:rPr>
        <w:t>and d</w:t>
      </w:r>
      <w:r w:rsidRPr="00E33921">
        <w:rPr>
          <w:rFonts w:cs="Open Sans"/>
        </w:rPr>
        <w:t>escribe the role of assessment in the learning process</w:t>
      </w:r>
      <w:r>
        <w:rPr>
          <w:rFonts w:cs="Open Sans"/>
        </w:rPr>
        <w:t xml:space="preserve">. Students will </w:t>
      </w:r>
      <w:r w:rsidR="002E76A0">
        <w:rPr>
          <w:rFonts w:cs="Open Sans"/>
        </w:rPr>
        <w:t xml:space="preserve">learn how to </w:t>
      </w:r>
      <w:r>
        <w:rPr>
          <w:rFonts w:cs="Open Sans"/>
        </w:rPr>
        <w:t>u</w:t>
      </w:r>
      <w:r w:rsidRPr="00E33921">
        <w:rPr>
          <w:rFonts w:cs="Open Sans"/>
        </w:rPr>
        <w:t xml:space="preserve">se </w:t>
      </w:r>
      <w:r w:rsidR="002E76A0">
        <w:rPr>
          <w:rFonts w:cs="Open Sans"/>
        </w:rPr>
        <w:t xml:space="preserve">assessment </w:t>
      </w:r>
      <w:r w:rsidRPr="00E33921">
        <w:rPr>
          <w:rFonts w:cs="Open Sans"/>
        </w:rPr>
        <w:t>results to create an instructional plan</w:t>
      </w:r>
      <w:r>
        <w:rPr>
          <w:rFonts w:cs="Open Sans"/>
        </w:rPr>
        <w:t>.</w:t>
      </w:r>
    </w:p>
    <w:p w14:paraId="5B4462E7" w14:textId="6993186C" w:rsidR="002E76A0" w:rsidRDefault="002E76A0" w:rsidP="000C04D0">
      <w:pPr>
        <w:spacing w:before="0" w:after="0"/>
        <w:rPr>
          <w:rFonts w:cs="Open Sans"/>
        </w:rPr>
      </w:pPr>
    </w:p>
    <w:p w14:paraId="18B87BA7" w14:textId="250E719E" w:rsidR="000C04D0" w:rsidRDefault="002E76A0" w:rsidP="000C04D0">
      <w:pPr>
        <w:spacing w:before="0" w:after="0"/>
        <w:rPr>
          <w:rFonts w:cs="Open Sans"/>
        </w:rPr>
      </w:pPr>
      <w:r>
        <w:rPr>
          <w:rFonts w:cs="Open Sans"/>
        </w:rPr>
        <w:t>Students will r</w:t>
      </w:r>
      <w:r w:rsidRPr="00230D18">
        <w:rPr>
          <w:rFonts w:cs="Open Sans"/>
        </w:rPr>
        <w:t>esearch, compare, and present student assessment tools</w:t>
      </w:r>
      <w:r>
        <w:rPr>
          <w:rFonts w:cs="Open Sans"/>
        </w:rPr>
        <w:t>, and s</w:t>
      </w:r>
      <w:r w:rsidRPr="00E33921">
        <w:rPr>
          <w:rFonts w:cs="Open Sans"/>
        </w:rPr>
        <w:t>elect at least one formative and one summative assessment to use in a sample lesson plan</w:t>
      </w:r>
      <w:r>
        <w:rPr>
          <w:rFonts w:cs="Open Sans"/>
        </w:rPr>
        <w:t xml:space="preserve">. </w:t>
      </w:r>
      <w:r w:rsidR="000C04D0">
        <w:rPr>
          <w:rFonts w:cs="Open Sans"/>
        </w:rPr>
        <w:t>As part of the</w:t>
      </w:r>
      <w:r>
        <w:rPr>
          <w:rFonts w:cs="Open Sans"/>
        </w:rPr>
        <w:t xml:space="preserve"> students’</w:t>
      </w:r>
      <w:r w:rsidR="000C04D0">
        <w:rPr>
          <w:rFonts w:cs="Open Sans"/>
        </w:rPr>
        <w:t xml:space="preserve"> field-based experience, students will observe and/or participate in a classroom assessment and prepare a brief report on the assessment to share with the class.</w:t>
      </w:r>
      <w:r>
        <w:rPr>
          <w:rFonts w:cs="Open Sans"/>
        </w:rPr>
        <w:t xml:space="preserve"> </w:t>
      </w:r>
    </w:p>
    <w:p w14:paraId="0A2380D7" w14:textId="77777777" w:rsidR="000C04D0" w:rsidRPr="00E33921" w:rsidRDefault="000C04D0" w:rsidP="000C04D0">
      <w:pPr>
        <w:spacing w:before="0" w:after="0"/>
        <w:rPr>
          <w:rFonts w:cs="Open Sans"/>
        </w:rPr>
      </w:pPr>
    </w:p>
    <w:p w14:paraId="487CF33D" w14:textId="7ED23EE0" w:rsidR="000C04D0" w:rsidRDefault="000C04D0" w:rsidP="000C04D0">
      <w:pPr>
        <w:spacing w:before="0" w:after="0"/>
        <w:rPr>
          <w:rFonts w:cs="Open Sans"/>
        </w:rPr>
      </w:pPr>
      <w:r>
        <w:rPr>
          <w:rFonts w:cs="Open Sans"/>
        </w:rPr>
        <w:t>Students will c</w:t>
      </w:r>
      <w:r w:rsidRPr="00E33921">
        <w:rPr>
          <w:rFonts w:cs="Open Sans"/>
        </w:rPr>
        <w:t xml:space="preserve">reate </w:t>
      </w:r>
      <w:bookmarkStart w:id="0" w:name="_Hlk510018468"/>
      <w:r w:rsidRPr="00E33921">
        <w:rPr>
          <w:rFonts w:cs="Open Sans"/>
        </w:rPr>
        <w:t xml:space="preserve">a list of helpful assessment tools, resources, and strategies </w:t>
      </w:r>
      <w:bookmarkEnd w:id="0"/>
      <w:r w:rsidRPr="00E33921">
        <w:rPr>
          <w:rFonts w:cs="Open Sans"/>
        </w:rPr>
        <w:t>for their field-</w:t>
      </w:r>
      <w:r>
        <w:rPr>
          <w:rFonts w:cs="Open Sans"/>
        </w:rPr>
        <w:t xml:space="preserve">based </w:t>
      </w:r>
      <w:r w:rsidRPr="00E33921">
        <w:rPr>
          <w:rFonts w:cs="Open Sans"/>
        </w:rPr>
        <w:t>experience and future careers</w:t>
      </w:r>
      <w:r>
        <w:rPr>
          <w:rFonts w:cs="Open Sans"/>
        </w:rPr>
        <w:t>.</w:t>
      </w:r>
      <w:r w:rsidR="002E76A0">
        <w:rPr>
          <w:rFonts w:cs="Open Sans"/>
        </w:rPr>
        <w:t xml:space="preserve"> </w:t>
      </w:r>
      <w:r>
        <w:rPr>
          <w:rFonts w:cs="Open Sans"/>
        </w:rPr>
        <w:t>As a culminating activity for the unit, students will reflect upon, then</w:t>
      </w:r>
      <w:r w:rsidR="002E76A0">
        <w:rPr>
          <w:rFonts w:cs="Open Sans"/>
        </w:rPr>
        <w:t xml:space="preserve"> role-play/</w:t>
      </w:r>
      <w:r>
        <w:rPr>
          <w:rFonts w:cs="Open Sans"/>
        </w:rPr>
        <w:t>m</w:t>
      </w:r>
      <w:r w:rsidRPr="00E33921">
        <w:rPr>
          <w:rFonts w:cs="Open Sans"/>
        </w:rPr>
        <w:t xml:space="preserve">odel </w:t>
      </w:r>
      <w:r w:rsidR="002E76A0">
        <w:rPr>
          <w:rFonts w:cs="Open Sans"/>
        </w:rPr>
        <w:t xml:space="preserve">ways to </w:t>
      </w:r>
      <w:r w:rsidRPr="00E33921">
        <w:rPr>
          <w:rFonts w:cs="Open Sans"/>
        </w:rPr>
        <w:t>explain the rationale</w:t>
      </w:r>
      <w:r w:rsidR="00663547">
        <w:rPr>
          <w:rFonts w:cs="Open Sans"/>
        </w:rPr>
        <w:t xml:space="preserve">, the teaching and learning process, the </w:t>
      </w:r>
      <w:r w:rsidR="002E76A0">
        <w:rPr>
          <w:rFonts w:cs="Open Sans"/>
        </w:rPr>
        <w:t>role of</w:t>
      </w:r>
      <w:r w:rsidRPr="00E33921">
        <w:rPr>
          <w:rFonts w:cs="Open Sans"/>
        </w:rPr>
        <w:t xml:space="preserve"> </w:t>
      </w:r>
      <w:r w:rsidR="002E76A0">
        <w:rPr>
          <w:rFonts w:cs="Open Sans"/>
        </w:rPr>
        <w:t xml:space="preserve">student learning assessments </w:t>
      </w:r>
      <w:r w:rsidRPr="00E33921">
        <w:rPr>
          <w:rFonts w:cs="Open Sans"/>
        </w:rPr>
        <w:t>to students, parents, and administrators</w:t>
      </w:r>
      <w:r>
        <w:rPr>
          <w:rFonts w:cs="Open Sans"/>
        </w:rPr>
        <w:t>.</w:t>
      </w:r>
    </w:p>
    <w:p w14:paraId="62C3139B" w14:textId="70D40170" w:rsidR="007C0F90" w:rsidRDefault="007C0F90">
      <w:r>
        <w:br w:type="page"/>
      </w:r>
    </w:p>
    <w:p w14:paraId="3B248AAD" w14:textId="77777777" w:rsidR="007C0F90" w:rsidRPr="008B0312" w:rsidRDefault="007C0F90" w:rsidP="007C0F90">
      <w:pPr>
        <w:pStyle w:val="Heading1"/>
      </w:pPr>
      <w:r>
        <w:lastRenderedPageBreak/>
        <w:t>Unit</w:t>
      </w:r>
      <w:r w:rsidRPr="008B0312">
        <w:t xml:space="preserve"> PLan</w:t>
      </w:r>
    </w:p>
    <w:p w14:paraId="03E8E41F" w14:textId="77777777" w:rsidR="007C0F90" w:rsidRPr="008B0312" w:rsidRDefault="007C0F90" w:rsidP="007C0F90">
      <w:pPr>
        <w:rPr>
          <w:rFonts w:ascii="Calibri" w:hAnsi="Calibri" w:cs="Calibri"/>
          <w:color w:val="auto"/>
          <w:sz w:val="24"/>
        </w:rPr>
      </w:pPr>
      <w:r w:rsidRPr="008B0312">
        <w:rPr>
          <w:rFonts w:ascii="Calibri" w:hAnsi="Calibri" w:cs="Calibri"/>
          <w:color w:val="auto"/>
          <w:sz w:val="24"/>
        </w:rPr>
        <w:t>Th</w:t>
      </w:r>
      <w:r>
        <w:rPr>
          <w:rFonts w:ascii="Calibri" w:hAnsi="Calibri" w:cs="Calibri"/>
          <w:color w:val="auto"/>
          <w:sz w:val="24"/>
        </w:rPr>
        <w:t xml:space="preserve">e two-column table in this section </w:t>
      </w:r>
      <w:r w:rsidRPr="008B0312">
        <w:rPr>
          <w:rFonts w:ascii="Calibri" w:hAnsi="Calibri" w:cs="Calibri"/>
          <w:color w:val="auto"/>
          <w:sz w:val="24"/>
        </w:rPr>
        <w:t xml:space="preserve">contains </w:t>
      </w:r>
      <w:r>
        <w:rPr>
          <w:rFonts w:ascii="Calibri" w:hAnsi="Calibri" w:cs="Calibri"/>
          <w:color w:val="auto"/>
          <w:sz w:val="24"/>
        </w:rPr>
        <w:t>unit planning elements in the first column, and details about the element in the second column.</w:t>
      </w:r>
    </w:p>
    <w:p w14:paraId="1048279E" w14:textId="77777777" w:rsidR="007C0F90" w:rsidRPr="0069251B" w:rsidRDefault="007C0F90" w:rsidP="000C04D0">
      <w:pPr>
        <w:spacing w:before="0" w:after="0"/>
      </w:pPr>
    </w:p>
    <w:p w14:paraId="533ABABB" w14:textId="211A08D9" w:rsidR="008B0312" w:rsidRPr="00072BC7" w:rsidRDefault="007C0F90" w:rsidP="001A00F3">
      <w:pPr>
        <w:pStyle w:val="Heading2"/>
        <w:jc w:val="center"/>
      </w:pPr>
      <w:r>
        <w:t>U</w:t>
      </w:r>
      <w:r w:rsidR="001A00F3">
        <w:t>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0C04D0"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7CC8FDAF" w:rsidR="000C04D0" w:rsidRPr="00C31FFD" w:rsidRDefault="000C04D0" w:rsidP="000C04D0">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16822E49" w14:textId="50A2D89D" w:rsidR="000C04D0" w:rsidRPr="00A96E0F" w:rsidRDefault="00292B60" w:rsidP="00A96E0F">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88EEFDAFCC994BE6926C83B88606B103"/>
                </w:placeholder>
              </w:sdtPr>
              <w:sdtEndPr/>
              <w:sdtContent>
                <w:r w:rsidR="000C04D0" w:rsidRPr="00A96E0F">
                  <w:rPr>
                    <w:b/>
                  </w:rPr>
                  <w:t>130.164.</w:t>
                </w:r>
              </w:sdtContent>
            </w:sdt>
            <w:r w:rsidR="000C04D0" w:rsidRPr="00A96E0F">
              <w:rPr>
                <w:b/>
              </w:rPr>
              <w:t xml:space="preserve"> (c) Knowledge and </w:t>
            </w:r>
            <w:r w:rsidR="00A96E0F" w:rsidRPr="00A96E0F">
              <w:rPr>
                <w:b/>
              </w:rPr>
              <w:t>s</w:t>
            </w:r>
            <w:r w:rsidR="000C04D0" w:rsidRPr="00A96E0F">
              <w:rPr>
                <w:b/>
              </w:rPr>
              <w:t>kills</w:t>
            </w:r>
          </w:p>
          <w:p w14:paraId="125CDD00" w14:textId="77777777" w:rsidR="00A96E0F" w:rsidRPr="00A96E0F" w:rsidRDefault="00A96E0F" w:rsidP="00A96E0F">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1B366C6E" w14:textId="77777777" w:rsidR="000C04D0" w:rsidRPr="00A96E0F" w:rsidRDefault="000C04D0" w:rsidP="00A96E0F">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96E0F">
              <w:t xml:space="preserve">(1) The student demonstrates professional standards/employability skills as required by business and industry. The student is expected to: </w:t>
            </w:r>
          </w:p>
          <w:p w14:paraId="11EA7D7F" w14:textId="4004A13D" w:rsidR="000C04D0" w:rsidRPr="00A96E0F" w:rsidRDefault="000C04D0"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96E0F">
              <w:t>(B) perform job-appropriate numerical and arithmetic application.</w:t>
            </w:r>
          </w:p>
          <w:p w14:paraId="03C49A99" w14:textId="77777777" w:rsidR="00AE0681" w:rsidRPr="00A96E0F" w:rsidRDefault="00AE0681" w:rsidP="00A96E0F">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96E0F">
              <w:t xml:space="preserve">(7) The student assesses teaching and learning. The student is expected to: </w:t>
            </w:r>
          </w:p>
          <w:p w14:paraId="286B90BD" w14:textId="77777777" w:rsidR="00AE0681" w:rsidRPr="00A96E0F" w:rsidRDefault="00AE0681"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96E0F">
              <w:t xml:space="preserve">(A) describe the role of assessment as part of the learning process; </w:t>
            </w:r>
          </w:p>
          <w:p w14:paraId="47C203CB" w14:textId="77777777" w:rsidR="00AE0681" w:rsidRPr="00A96E0F" w:rsidRDefault="00AE0681"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96E0F">
              <w:t xml:space="preserve">(B) analyze the assessment process; and </w:t>
            </w:r>
          </w:p>
          <w:p w14:paraId="0CAA7E86" w14:textId="6C385281" w:rsidR="00AE0681" w:rsidRPr="00A96E0F" w:rsidRDefault="00AE0681"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96E0F">
              <w:t>(C) use appropriate assessment strategies in an instructional setting.</w:t>
            </w:r>
          </w:p>
          <w:p w14:paraId="6BDD3A31" w14:textId="77777777" w:rsidR="000C04D0" w:rsidRPr="00A96E0F" w:rsidRDefault="000C04D0" w:rsidP="00A96E0F">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A96E0F">
              <w:t xml:space="preserve">(11) The student participates in field-based experiences in education and training. The student is expected to: </w:t>
            </w:r>
          </w:p>
          <w:p w14:paraId="210E4777" w14:textId="77777777" w:rsidR="000C04D0" w:rsidRPr="00A96E0F" w:rsidRDefault="000C04D0"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A96E0F">
              <w:t xml:space="preserve">(A) apply instructional strategies and concepts within a local educational or training facility; and </w:t>
            </w:r>
          </w:p>
          <w:p w14:paraId="608C85C8" w14:textId="79184FFE" w:rsidR="000C04D0" w:rsidRPr="00AE0681" w:rsidRDefault="000C04D0" w:rsidP="00A96E0F">
            <w:pPr>
              <w:spacing w:before="0" w:after="0"/>
              <w:ind w:left="1440"/>
              <w:contextualSpacing/>
              <w:cnfStyle w:val="000000000000" w:firstRow="0" w:lastRow="0" w:firstColumn="0" w:lastColumn="0" w:oddVBand="0" w:evenVBand="0" w:oddHBand="0" w:evenHBand="0" w:firstRowFirstColumn="0" w:firstRowLastColumn="0" w:lastRowFirstColumn="0" w:lastRowLastColumn="0"/>
              <w:rPr>
                <w:caps/>
              </w:rPr>
            </w:pPr>
            <w:r w:rsidRPr="00A96E0F">
              <w:t>(B) document, assess, and reflect on instructional experiences.</w:t>
            </w:r>
          </w:p>
        </w:tc>
      </w:tr>
      <w:tr w:rsidR="000C04D0"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0C04D0" w:rsidRPr="00C31FFD" w:rsidRDefault="000C04D0" w:rsidP="000C04D0">
            <w:pPr>
              <w:spacing w:before="0" w:after="0"/>
              <w:rPr>
                <w:rFonts w:cs="Open Sans"/>
                <w:b/>
                <w:caps w:val="0"/>
                <w:color w:val="auto"/>
              </w:rPr>
            </w:pPr>
            <w:r w:rsidRPr="00C31FFD">
              <w:rPr>
                <w:rFonts w:cs="Open Sans"/>
                <w:b/>
                <w:color w:val="auto"/>
              </w:rPr>
              <w:t>Unit Question</w:t>
            </w:r>
          </w:p>
        </w:tc>
        <w:tc>
          <w:tcPr>
            <w:tcW w:w="11349" w:type="dxa"/>
          </w:tcPr>
          <w:p w14:paraId="63A6114B" w14:textId="76C5AE72" w:rsidR="000C04D0" w:rsidRPr="000C04D0" w:rsidRDefault="000C04D0" w:rsidP="000C04D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0C04D0">
              <w:rPr>
                <w:rFonts w:cs="Open Sans"/>
                <w:color w:val="auto"/>
              </w:rPr>
              <w:t xml:space="preserve">What is the </w:t>
            </w:r>
            <w:r w:rsidRPr="0042130D">
              <w:t xml:space="preserve">role of assessment </w:t>
            </w:r>
            <w:r>
              <w:t>in</w:t>
            </w:r>
            <w:r w:rsidRPr="0042130D">
              <w:t xml:space="preserve"> the learning process</w:t>
            </w:r>
            <w:r>
              <w:t>?</w:t>
            </w:r>
          </w:p>
        </w:tc>
      </w:tr>
      <w:tr w:rsidR="000C04D0"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0C04D0" w:rsidRPr="00C31FFD" w:rsidRDefault="000C04D0" w:rsidP="000C04D0">
            <w:pPr>
              <w:spacing w:before="0" w:after="0"/>
              <w:rPr>
                <w:rFonts w:cs="Open Sans"/>
                <w:b/>
                <w:color w:val="auto"/>
              </w:rPr>
            </w:pPr>
            <w:r w:rsidRPr="00C31FFD">
              <w:rPr>
                <w:rFonts w:cs="Open Sans"/>
                <w:b/>
                <w:color w:val="auto"/>
              </w:rPr>
              <w:t>Essential Content Questions</w:t>
            </w:r>
          </w:p>
        </w:tc>
        <w:tc>
          <w:tcPr>
            <w:tcW w:w="11349" w:type="dxa"/>
          </w:tcPr>
          <w:p w14:paraId="18C237FD" w14:textId="77777777" w:rsidR="000C04D0" w:rsidRPr="0042130D" w:rsidRDefault="000C04D0" w:rsidP="000C04D0">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42130D">
              <w:rPr>
                <w:rFonts w:cs="Open Sans"/>
                <w:color w:val="auto"/>
              </w:rPr>
              <w:t>What is the rationale for student and teacher assessments?</w:t>
            </w:r>
          </w:p>
          <w:p w14:paraId="6DEAA007" w14:textId="77777777" w:rsidR="000C04D0" w:rsidRPr="0042130D" w:rsidRDefault="000C04D0" w:rsidP="000C04D0">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42130D">
              <w:rPr>
                <w:rFonts w:cs="Open Sans"/>
                <w:color w:val="auto"/>
              </w:rPr>
              <w:t>What are appropriate assessments for different instructional settings?</w:t>
            </w:r>
          </w:p>
          <w:p w14:paraId="5D0A1272" w14:textId="2005F3BC" w:rsidR="000C04D0" w:rsidRPr="0042130D" w:rsidRDefault="000C04D0" w:rsidP="000C04D0">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42130D">
              <w:rPr>
                <w:rFonts w:cs="Open Sans"/>
                <w:color w:val="auto"/>
              </w:rPr>
              <w:t xml:space="preserve">How can assessment data </w:t>
            </w:r>
            <w:proofErr w:type="gramStart"/>
            <w:r w:rsidRPr="0042130D">
              <w:rPr>
                <w:rFonts w:cs="Open Sans"/>
                <w:color w:val="auto"/>
              </w:rPr>
              <w:t>be used</w:t>
            </w:r>
            <w:proofErr w:type="gramEnd"/>
            <w:r w:rsidRPr="0042130D">
              <w:rPr>
                <w:rFonts w:cs="Open Sans"/>
                <w:color w:val="auto"/>
              </w:rPr>
              <w:t xml:space="preserve"> to </w:t>
            </w:r>
            <w:r w:rsidRPr="0042130D">
              <w:rPr>
                <w:rFonts w:cs="Open Sans"/>
                <w:color w:val="auto"/>
              </w:rPr>
              <w:t xml:space="preserve">inform </w:t>
            </w:r>
            <w:r w:rsidR="002E76A0">
              <w:rPr>
                <w:rFonts w:cs="Open Sans"/>
                <w:color w:val="auto"/>
              </w:rPr>
              <w:t>teaching and instructional planning</w:t>
            </w:r>
            <w:r w:rsidRPr="0042130D">
              <w:rPr>
                <w:rFonts w:cs="Open Sans"/>
                <w:color w:val="auto"/>
              </w:rPr>
              <w:t>?</w:t>
            </w:r>
          </w:p>
          <w:p w14:paraId="095259E1" w14:textId="112EAB2C" w:rsidR="000C04D0" w:rsidRPr="000C04D0" w:rsidRDefault="000C04D0" w:rsidP="000C04D0">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42130D">
              <w:rPr>
                <w:rFonts w:cs="Open Sans"/>
                <w:color w:val="auto"/>
              </w:rPr>
              <w:t xml:space="preserve">How will you use self-assessment </w:t>
            </w:r>
            <w:r w:rsidR="002E76A0">
              <w:rPr>
                <w:rFonts w:cs="Open Sans"/>
                <w:color w:val="auto"/>
              </w:rPr>
              <w:t xml:space="preserve">with learners </w:t>
            </w:r>
            <w:r w:rsidRPr="0042130D">
              <w:rPr>
                <w:rFonts w:cs="Open Sans"/>
                <w:color w:val="auto"/>
              </w:rPr>
              <w:t xml:space="preserve">in your teaching </w:t>
            </w:r>
            <w:r w:rsidRPr="0042130D">
              <w:rPr>
                <w:rFonts w:cs="Open Sans"/>
                <w:color w:val="auto"/>
              </w:rPr>
              <w:t>and learning process?</w:t>
            </w:r>
          </w:p>
          <w:p w14:paraId="12543681" w14:textId="20C1D7E4" w:rsidR="000C04D0" w:rsidRPr="00072BC7" w:rsidRDefault="000C04D0" w:rsidP="000C04D0">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D5034C">
              <w:rPr>
                <w:rFonts w:cs="Open Sans"/>
              </w:rPr>
              <w:t xml:space="preserve">How will you </w:t>
            </w:r>
            <w:r w:rsidR="002E76A0">
              <w:rPr>
                <w:rFonts w:cs="Open Sans"/>
              </w:rPr>
              <w:t>self-</w:t>
            </w:r>
            <w:r>
              <w:rPr>
                <w:rFonts w:cs="Open Sans"/>
              </w:rPr>
              <w:t>assess</w:t>
            </w:r>
            <w:r w:rsidRPr="00D5034C">
              <w:rPr>
                <w:rFonts w:cs="Open Sans"/>
              </w:rPr>
              <w:t xml:space="preserve"> </w:t>
            </w:r>
            <w:r w:rsidRPr="00D5034C">
              <w:rPr>
                <w:rFonts w:cs="Open Sans"/>
              </w:rPr>
              <w:t>your field-based experience?</w:t>
            </w:r>
          </w:p>
        </w:tc>
      </w:tr>
      <w:tr w:rsidR="000C04D0" w:rsidRPr="00072BC7" w14:paraId="310ED449" w14:textId="77777777" w:rsidTr="00CC3D5D">
        <w:trPr>
          <w:trHeight w:val="179"/>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0C04D0" w:rsidRPr="00C31FFD" w:rsidRDefault="000C04D0" w:rsidP="000C04D0">
            <w:pPr>
              <w:spacing w:before="0" w:after="0"/>
              <w:rPr>
                <w:rFonts w:cs="Open Sans"/>
                <w:b/>
                <w:caps w:val="0"/>
                <w:color w:val="auto"/>
              </w:rPr>
            </w:pPr>
            <w:r w:rsidRPr="00C31FFD">
              <w:rPr>
                <w:rFonts w:cs="Open Sans"/>
                <w:b/>
                <w:color w:val="auto"/>
              </w:rPr>
              <w:t>Unit Learning Objectives</w:t>
            </w:r>
          </w:p>
          <w:p w14:paraId="103B8E5C" w14:textId="51F6E187" w:rsidR="000C04D0" w:rsidRPr="00C31FFD" w:rsidRDefault="000C04D0" w:rsidP="000C04D0">
            <w:pPr>
              <w:spacing w:before="0" w:after="0"/>
              <w:rPr>
                <w:rFonts w:cs="Open Sans"/>
                <w:b/>
                <w:color w:val="auto"/>
              </w:rPr>
            </w:pPr>
            <w:r w:rsidRPr="00C31FFD">
              <w:rPr>
                <w:rFonts w:cs="Open Sans"/>
                <w:b/>
                <w:color w:val="auto"/>
              </w:rPr>
              <w:lastRenderedPageBreak/>
              <w:t>(What student will know and be able to do)</w:t>
            </w:r>
          </w:p>
        </w:tc>
        <w:tc>
          <w:tcPr>
            <w:tcW w:w="11349" w:type="dxa"/>
          </w:tcPr>
          <w:p w14:paraId="6A205C28" w14:textId="68C311B2" w:rsidR="000C04D0" w:rsidRPr="003E1719" w:rsidRDefault="000C04D0" w:rsidP="000C04D0">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3E1719">
              <w:rPr>
                <w:rFonts w:cs="Open Sans"/>
                <w:b/>
                <w:color w:val="auto"/>
              </w:rPr>
              <w:lastRenderedPageBreak/>
              <w:t>Students will</w:t>
            </w:r>
            <w:r w:rsidR="007C5AA4">
              <w:rPr>
                <w:rFonts w:cs="Open Sans"/>
                <w:b/>
                <w:color w:val="auto"/>
              </w:rPr>
              <w:t xml:space="preserve"> be able to</w:t>
            </w:r>
            <w:r w:rsidRPr="003E1719">
              <w:rPr>
                <w:rFonts w:cs="Open Sans"/>
                <w:b/>
                <w:color w:val="auto"/>
              </w:rPr>
              <w:t>:</w:t>
            </w:r>
          </w:p>
          <w:p w14:paraId="767C651C" w14:textId="77777777" w:rsid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Describe the role of assessment in the learning process</w:t>
            </w:r>
          </w:p>
          <w:p w14:paraId="1D3FE9AC" w14:textId="77777777" w:rsid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Use results of an assessment to create an instructional plan</w:t>
            </w:r>
          </w:p>
          <w:p w14:paraId="37F420C2" w14:textId="4E2233EB" w:rsidR="000C04D0" w:rsidRPr="00E33921"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lastRenderedPageBreak/>
              <w:t xml:space="preserve">Research and reflect upon the need for </w:t>
            </w:r>
            <w:r w:rsidRPr="00E33921">
              <w:rPr>
                <w:rFonts w:cs="Open Sans"/>
              </w:rPr>
              <w:t>student</w:t>
            </w:r>
            <w:r w:rsidR="00663547">
              <w:rPr>
                <w:rFonts w:cs="Open Sans"/>
              </w:rPr>
              <w:t xml:space="preserve"> learning</w:t>
            </w:r>
            <w:r w:rsidRPr="00E33921">
              <w:rPr>
                <w:rFonts w:cs="Open Sans"/>
              </w:rPr>
              <w:t xml:space="preserve"> and teacher </w:t>
            </w:r>
            <w:r w:rsidR="00663547">
              <w:rPr>
                <w:rFonts w:cs="Open Sans"/>
              </w:rPr>
              <w:t xml:space="preserve">effectiveness </w:t>
            </w:r>
            <w:r w:rsidRPr="00E33921">
              <w:rPr>
                <w:rFonts w:cs="Open Sans"/>
              </w:rPr>
              <w:t>self-assessments in the instructional assessment process</w:t>
            </w:r>
          </w:p>
          <w:p w14:paraId="2B9991F0" w14:textId="77777777" w:rsid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Analyze and explain </w:t>
            </w:r>
            <w:r>
              <w:rPr>
                <w:rFonts w:cs="Open Sans"/>
              </w:rPr>
              <w:t xml:space="preserve">sample </w:t>
            </w:r>
            <w:r w:rsidRPr="00E33921">
              <w:rPr>
                <w:rFonts w:cs="Open Sans"/>
              </w:rPr>
              <w:t xml:space="preserve">assessment data </w:t>
            </w:r>
          </w:p>
          <w:p w14:paraId="3D806766" w14:textId="1F642AAC" w:rsidR="000C04D0" w:rsidRPr="00E33921"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Apply </w:t>
            </w:r>
            <w:r>
              <w:rPr>
                <w:rFonts w:cs="Open Sans"/>
              </w:rPr>
              <w:t xml:space="preserve">appropriate </w:t>
            </w:r>
            <w:r w:rsidRPr="00E33921">
              <w:rPr>
                <w:rFonts w:cs="Open Sans"/>
              </w:rPr>
              <w:t>instructional strategies and concepts during the</w:t>
            </w:r>
            <w:r w:rsidR="00663547">
              <w:rPr>
                <w:rFonts w:cs="Open Sans"/>
              </w:rPr>
              <w:t xml:space="preserve"> student’s</w:t>
            </w:r>
            <w:r w:rsidRPr="00E33921">
              <w:rPr>
                <w:rFonts w:cs="Open Sans"/>
              </w:rPr>
              <w:t xml:space="preserve"> field experience</w:t>
            </w:r>
          </w:p>
          <w:p w14:paraId="020B8B46" w14:textId="77777777" w:rsidR="000C04D0" w:rsidRPr="00D5034C"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E33921">
              <w:rPr>
                <w:rFonts w:cs="Open Sans"/>
              </w:rPr>
              <w:t>Demonstrate a willingness to accept and apply constructive feedback given during their field experience</w:t>
            </w:r>
          </w:p>
          <w:p w14:paraId="3322FCEC" w14:textId="60C5C4E0" w:rsidR="000C04D0" w:rsidRP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Document the instructional strategies and concepts applied during the</w:t>
            </w:r>
            <w:r w:rsidR="00663547">
              <w:rPr>
                <w:rFonts w:cs="Open Sans"/>
              </w:rPr>
              <w:t xml:space="preserve"> student’s</w:t>
            </w:r>
            <w:r w:rsidRPr="00E33921">
              <w:rPr>
                <w:rFonts w:cs="Open Sans"/>
              </w:rPr>
              <w:t xml:space="preserve"> field</w:t>
            </w:r>
            <w:r w:rsidR="00663547">
              <w:rPr>
                <w:rFonts w:cs="Open Sans"/>
              </w:rPr>
              <w:t>-based</w:t>
            </w:r>
            <w:r w:rsidRPr="00E33921">
              <w:rPr>
                <w:rFonts w:cs="Open Sans"/>
              </w:rPr>
              <w:t xml:space="preserve"> experience</w:t>
            </w:r>
          </w:p>
          <w:p w14:paraId="0EA02742" w14:textId="04757C79" w:rsidR="000C04D0" w:rsidRPr="00072BC7"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 xml:space="preserve">Assess and reflect upon the </w:t>
            </w:r>
            <w:r w:rsidR="00663547">
              <w:rPr>
                <w:rFonts w:cs="Open Sans"/>
              </w:rPr>
              <w:t xml:space="preserve">student’s </w:t>
            </w:r>
            <w:r w:rsidRPr="00E33921">
              <w:rPr>
                <w:rFonts w:cs="Open Sans"/>
              </w:rPr>
              <w:t>field</w:t>
            </w:r>
            <w:r w:rsidR="00663547">
              <w:rPr>
                <w:rFonts w:cs="Open Sans"/>
              </w:rPr>
              <w:t>-based</w:t>
            </w:r>
            <w:r w:rsidRPr="00E33921">
              <w:rPr>
                <w:rFonts w:cs="Open Sans"/>
              </w:rPr>
              <w:t xml:space="preserve"> experience</w:t>
            </w:r>
          </w:p>
        </w:tc>
      </w:tr>
      <w:tr w:rsidR="000C04D0"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0C04D0" w:rsidRPr="00C31FFD" w:rsidRDefault="000C04D0" w:rsidP="000C04D0">
            <w:pPr>
              <w:spacing w:before="0" w:after="0"/>
              <w:rPr>
                <w:rFonts w:cs="Open Sans"/>
                <w:b/>
                <w:caps w:val="0"/>
                <w:color w:val="auto"/>
              </w:rPr>
            </w:pPr>
            <w:r w:rsidRPr="00C31FFD">
              <w:rPr>
                <w:rFonts w:cs="Open Sans"/>
                <w:b/>
                <w:color w:val="auto"/>
              </w:rPr>
              <w:lastRenderedPageBreak/>
              <w:t xml:space="preserve">Assessments </w:t>
            </w:r>
          </w:p>
          <w:p w14:paraId="20F2CF09" w14:textId="6573E6A4" w:rsidR="000C04D0" w:rsidRPr="00C31FFD" w:rsidRDefault="000C04D0" w:rsidP="000C04D0">
            <w:pPr>
              <w:spacing w:before="0" w:after="0"/>
              <w:rPr>
                <w:rFonts w:cs="Open Sans"/>
                <w:b/>
                <w:color w:val="auto"/>
              </w:rPr>
            </w:pPr>
            <w:r w:rsidRPr="00C31FFD">
              <w:rPr>
                <w:rFonts w:cs="Open Sans"/>
                <w:b/>
                <w:color w:val="auto"/>
              </w:rPr>
              <w:t>(Performance Tasks)</w:t>
            </w:r>
          </w:p>
        </w:tc>
        <w:tc>
          <w:tcPr>
            <w:tcW w:w="11349" w:type="dxa"/>
          </w:tcPr>
          <w:p w14:paraId="239208FB" w14:textId="4CF22C8E" w:rsidR="000C04D0" w:rsidRPr="003E1719" w:rsidRDefault="000C04D0" w:rsidP="000C04D0">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3E1719">
              <w:rPr>
                <w:rFonts w:cs="Open Sans"/>
                <w:b/>
                <w:color w:val="auto"/>
              </w:rPr>
              <w:t>Students will</w:t>
            </w:r>
            <w:r w:rsidR="007C5AA4">
              <w:rPr>
                <w:rFonts w:cs="Open Sans"/>
                <w:b/>
                <w:color w:val="auto"/>
              </w:rPr>
              <w:t xml:space="preserve"> be able to</w:t>
            </w:r>
            <w:r w:rsidRPr="003E1719">
              <w:rPr>
                <w:rFonts w:cs="Open Sans"/>
                <w:b/>
                <w:color w:val="auto"/>
              </w:rPr>
              <w:t>:</w:t>
            </w:r>
          </w:p>
          <w:p w14:paraId="346F500A" w14:textId="2E566DE7" w:rsidR="000C04D0" w:rsidRPr="00E33921"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Select at least one formative and one summative assessment to use in a sample lesson plan</w:t>
            </w:r>
            <w:r>
              <w:rPr>
                <w:rFonts w:cs="Open Sans"/>
              </w:rPr>
              <w:t xml:space="preserve"> for the</w:t>
            </w:r>
            <w:r w:rsidR="00663547">
              <w:rPr>
                <w:rFonts w:cs="Open Sans"/>
              </w:rPr>
              <w:t xml:space="preserve"> student’s</w:t>
            </w:r>
            <w:r>
              <w:rPr>
                <w:rFonts w:cs="Open Sans"/>
              </w:rPr>
              <w:t xml:space="preserve"> </w:t>
            </w:r>
            <w:r w:rsidR="007C0F90">
              <w:rPr>
                <w:rFonts w:cs="Open Sans"/>
              </w:rPr>
              <w:t xml:space="preserve">teaching </w:t>
            </w:r>
            <w:r>
              <w:rPr>
                <w:rFonts w:cs="Open Sans"/>
              </w:rPr>
              <w:t>portfolios and/or field-based experience</w:t>
            </w:r>
          </w:p>
          <w:p w14:paraId="2D5E54B8" w14:textId="311D5F89" w:rsid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Model/role play </w:t>
            </w:r>
            <w:r w:rsidR="00663547">
              <w:rPr>
                <w:rFonts w:cs="Open Sans"/>
              </w:rPr>
              <w:t xml:space="preserve">ways to </w:t>
            </w:r>
            <w:r w:rsidRPr="00E33921">
              <w:rPr>
                <w:rFonts w:cs="Open Sans"/>
              </w:rPr>
              <w:t xml:space="preserve">explain the rationale </w:t>
            </w:r>
            <w:r w:rsidR="00663547">
              <w:rPr>
                <w:rFonts w:cs="Open Sans"/>
              </w:rPr>
              <w:t>the teaching and learning process, the role of</w:t>
            </w:r>
            <w:r w:rsidR="00663547" w:rsidRPr="00E33921">
              <w:rPr>
                <w:rFonts w:cs="Open Sans"/>
              </w:rPr>
              <w:t xml:space="preserve"> </w:t>
            </w:r>
            <w:r w:rsidR="00663547">
              <w:rPr>
                <w:rFonts w:cs="Open Sans"/>
              </w:rPr>
              <w:t>student learning assessments</w:t>
            </w:r>
            <w:r w:rsidR="00663547" w:rsidRPr="00E33921" w:rsidDel="00663547">
              <w:rPr>
                <w:rFonts w:cs="Open Sans"/>
              </w:rPr>
              <w:t xml:space="preserve"> </w:t>
            </w:r>
            <w:r w:rsidRPr="00E33921">
              <w:rPr>
                <w:rFonts w:cs="Open Sans"/>
              </w:rPr>
              <w:t>to students, parents, and administrators</w:t>
            </w:r>
          </w:p>
          <w:p w14:paraId="16E4DC74" w14:textId="77777777" w:rsidR="000C04D0" w:rsidRPr="00E33921"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Research, compare, and present assessment tools</w:t>
            </w:r>
          </w:p>
          <w:p w14:paraId="67254E89" w14:textId="77777777" w:rsidR="000C04D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Write a short reflection regarding </w:t>
            </w:r>
            <w:r w:rsidRPr="00E33921">
              <w:rPr>
                <w:rFonts w:cs="Open Sans"/>
              </w:rPr>
              <w:t xml:space="preserve">instructional assessment </w:t>
            </w:r>
          </w:p>
          <w:p w14:paraId="495AA9BF" w14:textId="2D4D95A7" w:rsidR="000C04D0" w:rsidRPr="008F1CF0" w:rsidRDefault="000C04D0" w:rsidP="000C04D0">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Create a list of helpful assessment tools, resources, and strategies for the</w:t>
            </w:r>
            <w:r w:rsidR="00663547">
              <w:rPr>
                <w:rFonts w:cs="Open Sans"/>
              </w:rPr>
              <w:t xml:space="preserve"> student’s</w:t>
            </w:r>
            <w:r w:rsidRPr="00E33921">
              <w:rPr>
                <w:rFonts w:cs="Open Sans"/>
              </w:rPr>
              <w:t xml:space="preserve"> field-</w:t>
            </w:r>
            <w:r>
              <w:rPr>
                <w:rFonts w:cs="Open Sans"/>
              </w:rPr>
              <w:t xml:space="preserve">based </w:t>
            </w:r>
            <w:r w:rsidRPr="00E33921">
              <w:rPr>
                <w:rFonts w:cs="Open Sans"/>
              </w:rPr>
              <w:t>experience</w:t>
            </w:r>
            <w:r w:rsidR="00663547">
              <w:rPr>
                <w:rFonts w:cs="Open Sans"/>
              </w:rPr>
              <w:t xml:space="preserve">, portfolios, </w:t>
            </w:r>
            <w:r w:rsidRPr="00E33921">
              <w:rPr>
                <w:rFonts w:cs="Open Sans"/>
              </w:rPr>
              <w:t>and future careers</w:t>
            </w:r>
            <w:r>
              <w:rPr>
                <w:rFonts w:cs="Open Sans"/>
              </w:rPr>
              <w:t xml:space="preserve"> in</w:t>
            </w:r>
            <w:r w:rsidR="00663547">
              <w:rPr>
                <w:rFonts w:cs="Open Sans"/>
              </w:rPr>
              <w:t xml:space="preserve"> the teaching and training profession</w:t>
            </w:r>
          </w:p>
        </w:tc>
      </w:tr>
      <w:tr w:rsidR="000C04D0"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0C04D0" w:rsidRPr="00C31FFD" w:rsidRDefault="000C04D0" w:rsidP="000C04D0">
            <w:pPr>
              <w:spacing w:before="0" w:after="0"/>
              <w:rPr>
                <w:rFonts w:cs="Open Sans"/>
                <w:b/>
                <w:caps w:val="0"/>
                <w:color w:val="auto"/>
              </w:rPr>
            </w:pPr>
            <w:r w:rsidRPr="00C31FFD">
              <w:rPr>
                <w:rFonts w:cs="Open Sans"/>
                <w:b/>
                <w:color w:val="auto"/>
              </w:rPr>
              <w:t xml:space="preserve">Evaluative Criteria </w:t>
            </w:r>
          </w:p>
          <w:p w14:paraId="0CBD5E22" w14:textId="5CCC821D" w:rsidR="000C04D0" w:rsidRPr="00C31FFD" w:rsidRDefault="000C04D0" w:rsidP="000C04D0">
            <w:pPr>
              <w:spacing w:before="0" w:after="0"/>
              <w:rPr>
                <w:rFonts w:cs="Open Sans"/>
                <w:b/>
                <w:color w:val="auto"/>
              </w:rPr>
            </w:pPr>
            <w:r w:rsidRPr="00C31FFD">
              <w:rPr>
                <w:rFonts w:cs="Open Sans"/>
                <w:b/>
                <w:color w:val="auto"/>
              </w:rPr>
              <w:t>(Rubric)</w:t>
            </w:r>
          </w:p>
        </w:tc>
        <w:tc>
          <w:tcPr>
            <w:tcW w:w="11349" w:type="dxa"/>
          </w:tcPr>
          <w:p w14:paraId="3E6F1046" w14:textId="77777777" w:rsidR="000C04D0" w:rsidRPr="007C5AA4" w:rsidRDefault="000C04D0" w:rsidP="007C5AA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auto"/>
              </w:rPr>
            </w:pPr>
            <w:r w:rsidRPr="007C5AA4">
              <w:rPr>
                <w:rFonts w:cs="Open Sans"/>
                <w:color w:val="auto"/>
              </w:rPr>
              <w:t>Assessment Tools Presentation Rubric</w:t>
            </w:r>
          </w:p>
          <w:p w14:paraId="45D010F1" w14:textId="77777777" w:rsidR="000C04D0" w:rsidRPr="007C5AA4" w:rsidRDefault="000C04D0" w:rsidP="007C5AA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auto"/>
              </w:rPr>
            </w:pPr>
            <w:r w:rsidRPr="007C5AA4">
              <w:rPr>
                <w:rFonts w:cs="Open Sans"/>
                <w:color w:val="auto"/>
              </w:rPr>
              <w:t>Reflection Writing Rubric</w:t>
            </w:r>
          </w:p>
          <w:p w14:paraId="3526B293" w14:textId="77777777" w:rsidR="000C04D0" w:rsidRPr="007C5AA4" w:rsidRDefault="000C04D0" w:rsidP="007C5AA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C5AA4">
              <w:rPr>
                <w:rFonts w:cs="Open Sans"/>
                <w:color w:val="auto"/>
              </w:rPr>
              <w:t>Formative and Summative Assessment in a Lesson Plan Rubric</w:t>
            </w:r>
          </w:p>
          <w:p w14:paraId="04BAB0A0" w14:textId="2702E562" w:rsidR="000C04D0" w:rsidRPr="007C5AA4" w:rsidRDefault="000C04D0" w:rsidP="007C5AA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C5AA4">
              <w:rPr>
                <w:rFonts w:cs="Open Sans"/>
                <w:color w:val="auto"/>
              </w:rPr>
              <w:t>Resources Rubric</w:t>
            </w:r>
          </w:p>
        </w:tc>
      </w:tr>
      <w:tr w:rsidR="000C04D0"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0C04D0" w:rsidRPr="00C31FFD" w:rsidRDefault="000C04D0" w:rsidP="000C04D0">
            <w:pPr>
              <w:spacing w:before="0" w:after="0"/>
              <w:rPr>
                <w:rFonts w:cs="Open Sans"/>
                <w:b/>
                <w:color w:val="auto"/>
              </w:rPr>
            </w:pPr>
            <w:r w:rsidRPr="00C31FFD">
              <w:rPr>
                <w:rFonts w:cs="Open Sans"/>
                <w:b/>
                <w:color w:val="auto"/>
              </w:rPr>
              <w:t>Vocabulary</w:t>
            </w:r>
          </w:p>
        </w:tc>
        <w:tc>
          <w:tcPr>
            <w:tcW w:w="11349" w:type="dxa"/>
          </w:tcPr>
          <w:p w14:paraId="0C9BE8EF" w14:textId="77777777" w:rsidR="000C04D0" w:rsidRPr="00BB3893"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C5AA4">
              <w:rPr>
                <w:rFonts w:cs="Open Sans"/>
                <w:color w:val="auto"/>
              </w:rPr>
              <w:t>Assessment</w:t>
            </w:r>
          </w:p>
          <w:p w14:paraId="5443E134" w14:textId="77777777" w:rsidR="000C04D0" w:rsidRPr="0042130D"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C5AA4">
              <w:rPr>
                <w:rFonts w:cs="Open Sans"/>
                <w:color w:val="auto"/>
              </w:rPr>
              <w:t>Formative Assessment</w:t>
            </w:r>
          </w:p>
          <w:p w14:paraId="4B237390" w14:textId="77777777" w:rsidR="000C04D0"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Rationale</w:t>
            </w:r>
          </w:p>
          <w:p w14:paraId="2A1535D4" w14:textId="77777777" w:rsidR="000C04D0"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Rubric</w:t>
            </w:r>
          </w:p>
          <w:p w14:paraId="0ABEC9AE" w14:textId="77777777" w:rsidR="000C04D0"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Self-Assessment</w:t>
            </w:r>
          </w:p>
          <w:p w14:paraId="544BCC83" w14:textId="49A1E896" w:rsidR="000C04D0" w:rsidRPr="0042130D"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lastRenderedPageBreak/>
              <w:t>STAAR</w:t>
            </w:r>
            <w:r w:rsidRPr="008637F4">
              <w:rPr>
                <w:vertAlign w:val="superscript"/>
              </w:rPr>
              <w:t>®</w:t>
            </w:r>
            <w:r w:rsidR="008637F4">
              <w:rPr>
                <w:vertAlign w:val="superscript"/>
              </w:rPr>
              <w:t xml:space="preserve"> </w:t>
            </w:r>
            <w:r w:rsidR="008637F4">
              <w:t>Program</w:t>
            </w:r>
            <w:r w:rsidR="008637F4" w:rsidRPr="008637F4">
              <w:t xml:space="preserve"> (</w:t>
            </w:r>
            <w:r w:rsidR="008637F4">
              <w:t>State of Texas Assessments of Academic Readiness)</w:t>
            </w:r>
          </w:p>
          <w:p w14:paraId="774FFB0B" w14:textId="77777777" w:rsidR="000C04D0" w:rsidRPr="008637F4" w:rsidRDefault="000C04D0"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7C5AA4">
              <w:rPr>
                <w:rFonts w:cs="Open Sans"/>
                <w:color w:val="auto"/>
              </w:rPr>
              <w:t>Summative Assessment</w:t>
            </w:r>
          </w:p>
          <w:p w14:paraId="177E1650" w14:textId="7D5BE5C0" w:rsidR="008637F4" w:rsidRPr="000C04D0" w:rsidRDefault="008637F4" w:rsidP="007C5AA4">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t>TELPAS (Texas English Language Proficiency Assessment System)</w:t>
            </w:r>
          </w:p>
        </w:tc>
      </w:tr>
      <w:tr w:rsidR="000C04D0"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0C04D0" w:rsidRPr="00C31FFD" w:rsidRDefault="000C04D0" w:rsidP="000C04D0">
            <w:pPr>
              <w:spacing w:before="0" w:after="0"/>
              <w:rPr>
                <w:rFonts w:cs="Open Sans"/>
                <w:b/>
                <w:color w:val="auto"/>
              </w:rPr>
            </w:pPr>
            <w:r w:rsidRPr="00C31FFD">
              <w:rPr>
                <w:rFonts w:cs="Open Sans"/>
                <w:b/>
                <w:color w:val="auto"/>
              </w:rPr>
              <w:lastRenderedPageBreak/>
              <w:t>Resources</w:t>
            </w:r>
          </w:p>
        </w:tc>
        <w:tc>
          <w:tcPr>
            <w:tcW w:w="11349" w:type="dxa"/>
          </w:tcPr>
          <w:p w14:paraId="74457D8B" w14:textId="77777777" w:rsidR="000C04D0" w:rsidRPr="007C5AA4" w:rsidRDefault="000C04D0" w:rsidP="007C5AA4">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5AA4">
              <w:rPr>
                <w:b/>
              </w:rPr>
              <w:t>Texas Education Agency (TEA) STAAR Resources</w:t>
            </w:r>
          </w:p>
          <w:p w14:paraId="28EE23B3" w14:textId="4989ECFD" w:rsidR="000C04D0" w:rsidRDefault="00292B60" w:rsidP="007C5AA4">
            <w:pPr>
              <w:pStyle w:val="ListParagraph"/>
              <w:spacing w:before="0" w:after="0"/>
              <w:cnfStyle w:val="000000000000" w:firstRow="0" w:lastRow="0" w:firstColumn="0" w:lastColumn="0" w:oddVBand="0" w:evenVBand="0" w:oddHBand="0" w:evenHBand="0" w:firstRowFirstColumn="0" w:firstRowLastColumn="0" w:lastRowFirstColumn="0" w:lastRowLastColumn="0"/>
              <w:rPr>
                <w:rStyle w:val="Hyperlink"/>
              </w:rPr>
            </w:pPr>
            <w:hyperlink r:id="rId11" w:history="1">
              <w:r w:rsidR="000C04D0" w:rsidRPr="00F82452">
                <w:rPr>
                  <w:rStyle w:val="Hyperlink"/>
                </w:rPr>
                <w:t>https://tea.texas.gov/student.assessment/staar/</w:t>
              </w:r>
            </w:hyperlink>
          </w:p>
          <w:p w14:paraId="4B5571AA" w14:textId="72CC4484" w:rsidR="008637F4" w:rsidRPr="008637F4" w:rsidRDefault="008637F4" w:rsidP="008637F4">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8637F4">
              <w:rPr>
                <w:b/>
              </w:rPr>
              <w:t>TELPAS Resources</w:t>
            </w:r>
          </w:p>
          <w:p w14:paraId="216D6E72" w14:textId="71AC6258" w:rsidR="008637F4" w:rsidRDefault="008637F4" w:rsidP="008637F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2" w:history="1">
              <w:r w:rsidRPr="00882E3C">
                <w:rPr>
                  <w:rStyle w:val="Hyperlink"/>
                </w:rPr>
                <w:t>https://tea.texas.gov/student.assessment/ell/telpas/</w:t>
              </w:r>
            </w:hyperlink>
          </w:p>
          <w:p w14:paraId="52DC5A93" w14:textId="660BAD2C" w:rsidR="000C04D0" w:rsidRPr="007C5AA4" w:rsidRDefault="000C04D0" w:rsidP="007C5AA4">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bookmarkStart w:id="1" w:name="_GoBack"/>
            <w:bookmarkEnd w:id="1"/>
            <w:r w:rsidRPr="007C5AA4">
              <w:rPr>
                <w:b/>
              </w:rPr>
              <w:t>Texas CTE Resource Center (TCRC)</w:t>
            </w:r>
          </w:p>
          <w:p w14:paraId="6A8B9D5B" w14:textId="264B8A00" w:rsidR="000C04D0" w:rsidRDefault="00292B60" w:rsidP="007C5AA4">
            <w:pPr>
              <w:pStyle w:val="ListParagraph"/>
              <w:spacing w:before="0" w:after="0"/>
              <w:cnfStyle w:val="000000000000" w:firstRow="0" w:lastRow="0" w:firstColumn="0" w:lastColumn="0" w:oddVBand="0" w:evenVBand="0" w:oddHBand="0" w:evenHBand="0" w:firstRowFirstColumn="0" w:firstRowLastColumn="0" w:lastRowFirstColumn="0" w:lastRowLastColumn="0"/>
              <w:rPr>
                <w:rStyle w:val="Hyperlink"/>
              </w:rPr>
            </w:pPr>
            <w:hyperlink r:id="rId13" w:history="1">
              <w:r w:rsidR="000C04D0" w:rsidRPr="00D00FB3">
                <w:rPr>
                  <w:rStyle w:val="Hyperlink"/>
                </w:rPr>
                <w:t>https://txcte.org/resource-index</w:t>
              </w:r>
            </w:hyperlink>
          </w:p>
          <w:p w14:paraId="3AF9F0AD" w14:textId="62424B17" w:rsidR="00663547" w:rsidRPr="007C0F90" w:rsidRDefault="00663547" w:rsidP="007C0F90">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0F90">
              <w:rPr>
                <w:b/>
              </w:rPr>
              <w:t>How to Assess Student Learning and Performance</w:t>
            </w:r>
          </w:p>
          <w:p w14:paraId="2447984F" w14:textId="03716948" w:rsidR="00663547" w:rsidRDefault="00663547" w:rsidP="007C5AA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4" w:history="1">
              <w:r w:rsidRPr="00A66E08">
                <w:rPr>
                  <w:rStyle w:val="Hyperlink"/>
                </w:rPr>
                <w:t>https://www.cmu.edu/teaching/assessment/assesslearning/index.html</w:t>
              </w:r>
            </w:hyperlink>
          </w:p>
          <w:p w14:paraId="3EF14A18" w14:textId="43ED3AC1" w:rsidR="00663547" w:rsidRPr="007C0F90" w:rsidRDefault="00663547" w:rsidP="007C0F90">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0F90">
              <w:rPr>
                <w:b/>
              </w:rPr>
              <w:t>Self-Assessment</w:t>
            </w:r>
          </w:p>
          <w:p w14:paraId="7EF3E224" w14:textId="76CD724E" w:rsidR="00663547" w:rsidRDefault="00663547" w:rsidP="007C5AA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5" w:history="1">
              <w:r w:rsidRPr="00A66E08">
                <w:rPr>
                  <w:rStyle w:val="Hyperlink"/>
                </w:rPr>
                <w:t>https://www.cte.cornell.edu/teaching-ideas/assessing-student-learning/self-assessment.html</w:t>
              </w:r>
            </w:hyperlink>
          </w:p>
          <w:p w14:paraId="42A71C09" w14:textId="1140550D" w:rsidR="00663547" w:rsidRPr="007C0F90" w:rsidRDefault="00663547" w:rsidP="007C0F90">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0F90">
              <w:rPr>
                <w:b/>
              </w:rPr>
              <w:t>Assessing Student Learning</w:t>
            </w:r>
          </w:p>
          <w:p w14:paraId="1EBCBE78" w14:textId="0621EC9B" w:rsidR="00663547" w:rsidRDefault="002773FF" w:rsidP="007C5AA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6" w:history="1">
              <w:r w:rsidRPr="00A66E08">
                <w:rPr>
                  <w:rStyle w:val="Hyperlink"/>
                </w:rPr>
                <w:t>https://teachingcommons.stanford.edu/resources/teaching/evaluating-students/assessing-student-learning</w:t>
              </w:r>
            </w:hyperlink>
          </w:p>
          <w:p w14:paraId="5059E0B3" w14:textId="1CE6AE81" w:rsidR="002773FF" w:rsidRDefault="002773FF" w:rsidP="007C0F90">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0F90">
              <w:rPr>
                <w:b/>
              </w:rPr>
              <w:t>Linking Classroom Assessments with Student Learning</w:t>
            </w:r>
          </w:p>
          <w:p w14:paraId="58C15C16" w14:textId="2C85C8F3" w:rsidR="002773FF" w:rsidRDefault="007C0F90" w:rsidP="007C5AA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7" w:history="1">
              <w:r w:rsidRPr="00882E3C">
                <w:rPr>
                  <w:rStyle w:val="Hyperlink"/>
                </w:rPr>
                <w:t>https://www.ets.org/Media/Tests/TOEFL_Institutional_Testing_Program/ELLM2002.pdf</w:t>
              </w:r>
            </w:hyperlink>
          </w:p>
          <w:p w14:paraId="092091BD" w14:textId="018D56E7" w:rsidR="000C04D0" w:rsidRPr="007C5AA4" w:rsidRDefault="000C04D0" w:rsidP="007C5AA4">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b/>
              </w:rPr>
            </w:pPr>
            <w:r w:rsidRPr="007C5AA4">
              <w:rPr>
                <w:b/>
              </w:rPr>
              <w:t>Edutopia</w:t>
            </w:r>
          </w:p>
          <w:p w14:paraId="4183C5CB" w14:textId="65225234" w:rsidR="000C04D0" w:rsidRPr="008C6CF6" w:rsidRDefault="000C04D0" w:rsidP="007C5AA4">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C6CF6">
              <w:rPr>
                <w:b/>
              </w:rPr>
              <w:t>A More Complete Picture of Student Learning</w:t>
            </w:r>
          </w:p>
          <w:p w14:paraId="7747D72E" w14:textId="3CCB00A7" w:rsidR="000C04D0" w:rsidRDefault="007B2B59" w:rsidP="007C5AA4">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8" w:history="1">
              <w:r w:rsidR="000C04D0" w:rsidRPr="00F82452">
                <w:rPr>
                  <w:rStyle w:val="Hyperlink"/>
                </w:rPr>
                <w:t>https://www.edutopia.org/article/more-complete-picture-student-learning</w:t>
              </w:r>
            </w:hyperlink>
          </w:p>
          <w:p w14:paraId="1A170922" w14:textId="2F83240D"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7 Grading Tips for New Teachers</w:t>
            </w:r>
          </w:p>
          <w:p w14:paraId="00C615ED" w14:textId="6FA6F85E" w:rsidR="000C04D0"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19" w:history="1">
              <w:r w:rsidR="000C04D0" w:rsidRPr="00F82452">
                <w:rPr>
                  <w:rStyle w:val="Hyperlink"/>
                </w:rPr>
                <w:t>https://www.edutopia.org/article/7-grading-tips-new-teachers</w:t>
              </w:r>
            </w:hyperlink>
          </w:p>
          <w:p w14:paraId="4A43DDE5" w14:textId="6FE78A21"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Will Letter Grades Survive?</w:t>
            </w:r>
          </w:p>
          <w:p w14:paraId="28A467E5" w14:textId="2E940BE9" w:rsidR="000C04D0"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0" w:history="1">
              <w:r w:rsidR="000C04D0" w:rsidRPr="00F82452">
                <w:rPr>
                  <w:rStyle w:val="Hyperlink"/>
                </w:rPr>
                <w:t>https://www.edutopia.org/article/will-letter-grades-survive</w:t>
              </w:r>
            </w:hyperlink>
          </w:p>
          <w:p w14:paraId="463288FE" w14:textId="225846FA"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Why is Assessment Important?</w:t>
            </w:r>
          </w:p>
          <w:p w14:paraId="1BBE5915" w14:textId="2DA5EE4E" w:rsidR="000C04D0"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1" w:history="1">
              <w:r w:rsidR="000C04D0" w:rsidRPr="00F82452">
                <w:rPr>
                  <w:rStyle w:val="Hyperlink"/>
                </w:rPr>
                <w:t>https://www.edutopia.org/assessment-guide-importance</w:t>
              </w:r>
            </w:hyperlink>
          </w:p>
          <w:p w14:paraId="706C482D" w14:textId="7F556896"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What are Some Types of Assessment?</w:t>
            </w:r>
          </w:p>
          <w:p w14:paraId="0519E67B" w14:textId="667D8E0B" w:rsidR="000C04D0"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2" w:history="1">
              <w:r w:rsidR="000C04D0" w:rsidRPr="00F82452">
                <w:rPr>
                  <w:rStyle w:val="Hyperlink"/>
                </w:rPr>
                <w:t>https://www.edutopia.org/assessment-guide-description</w:t>
              </w:r>
            </w:hyperlink>
          </w:p>
          <w:p w14:paraId="4DABA12C" w14:textId="344DB20D"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How do Rubrics Help?</w:t>
            </w:r>
          </w:p>
          <w:p w14:paraId="4C53006E" w14:textId="220BED0B" w:rsidR="000C04D0"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3" w:history="1">
              <w:r w:rsidR="000C04D0" w:rsidRPr="00F82452">
                <w:rPr>
                  <w:rStyle w:val="Hyperlink"/>
                </w:rPr>
                <w:t>https://www.edutopia.org/assessment-guide-rubrics</w:t>
              </w:r>
            </w:hyperlink>
          </w:p>
          <w:p w14:paraId="274467EF" w14:textId="39D59444" w:rsidR="000C04D0" w:rsidRPr="008C6CF6" w:rsidRDefault="000C04D0"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C6CF6">
              <w:rPr>
                <w:b/>
              </w:rPr>
              <w:t>Resources for Comprehensive Assessment</w:t>
            </w:r>
          </w:p>
          <w:p w14:paraId="03D053DC" w14:textId="1B77E22C" w:rsidR="000C04D0" w:rsidRPr="00072BC7" w:rsidRDefault="007B2B59" w:rsidP="007C5AA4">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24" w:history="1">
              <w:r w:rsidR="000C04D0" w:rsidRPr="00F82452">
                <w:rPr>
                  <w:rStyle w:val="Hyperlink"/>
                </w:rPr>
                <w:t>https://www.edutopia.org/assessment-guide-resources</w:t>
              </w:r>
            </w:hyperlink>
          </w:p>
        </w:tc>
      </w:tr>
      <w:tr w:rsidR="000C04D0"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0C04D0" w:rsidRPr="00C31FFD" w:rsidRDefault="000C04D0" w:rsidP="000C04D0">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0C04D0" w:rsidRPr="00072BC7" w:rsidRDefault="000C04D0" w:rsidP="000C04D0">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25"/>
      <w:footerReference w:type="default" r:id="rId26"/>
      <w:headerReference w:type="first" r:id="rId27"/>
      <w:footerReference w:type="first" r:id="rId28"/>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A649" w14:textId="77777777" w:rsidR="00292B60" w:rsidRDefault="00292B60">
      <w:pPr>
        <w:spacing w:before="0" w:after="0"/>
      </w:pPr>
      <w:r>
        <w:separator/>
      </w:r>
    </w:p>
  </w:endnote>
  <w:endnote w:type="continuationSeparator" w:id="0">
    <w:p w14:paraId="44B94588" w14:textId="77777777" w:rsidR="00292B60" w:rsidRDefault="00292B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753A2039"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4A16D3FC" w:rsidR="00EA0CB7" w:rsidRDefault="002E76A0"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0A7DE1CC" w14:textId="77777777" w:rsidR="002E76A0" w:rsidRDefault="002E76A0" w:rsidP="002E76A0">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p w14:paraId="68CF4A87" w14:textId="77777777" w:rsidR="002E76A0" w:rsidRPr="00EA0CB7" w:rsidRDefault="002E76A0" w:rsidP="00EA0CB7">
    <w:pPr>
      <w:pStyle w:val="Footer"/>
      <w:spacing w:before="0"/>
      <w:jc w:val="left"/>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inline distT="0" distB="0" distL="0" distR="0" wp14:anchorId="33D2C341" wp14:editId="3C4F9B94">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95E2B" w14:textId="77777777" w:rsidR="00292B60" w:rsidRDefault="00292B60">
      <w:pPr>
        <w:spacing w:before="0" w:after="0"/>
      </w:pPr>
      <w:r>
        <w:separator/>
      </w:r>
    </w:p>
  </w:footnote>
  <w:footnote w:type="continuationSeparator" w:id="0">
    <w:p w14:paraId="1DAAF318" w14:textId="77777777" w:rsidR="00292B60" w:rsidRDefault="00292B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7C1C9334">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C8146F"/>
    <w:multiLevelType w:val="hybridMultilevel"/>
    <w:tmpl w:val="1F52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37E0A"/>
    <w:multiLevelType w:val="hybridMultilevel"/>
    <w:tmpl w:val="3DC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3389C"/>
    <w:multiLevelType w:val="hybridMultilevel"/>
    <w:tmpl w:val="4FEC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4" w15:restartNumberingAfterBreak="0">
    <w:nsid w:val="39CD2ED1"/>
    <w:multiLevelType w:val="hybridMultilevel"/>
    <w:tmpl w:val="6A3639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4F860C5E"/>
    <w:multiLevelType w:val="hybridMultilevel"/>
    <w:tmpl w:val="552C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70F39"/>
    <w:multiLevelType w:val="hybridMultilevel"/>
    <w:tmpl w:val="263AD8D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9"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059B0"/>
    <w:multiLevelType w:val="hybridMultilevel"/>
    <w:tmpl w:val="3D0C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B6780"/>
    <w:multiLevelType w:val="hybridMultilevel"/>
    <w:tmpl w:val="60CE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1"/>
  </w:num>
  <w:num w:numId="15">
    <w:abstractNumId w:val="13"/>
  </w:num>
  <w:num w:numId="16">
    <w:abstractNumId w:val="18"/>
  </w:num>
  <w:num w:numId="17">
    <w:abstractNumId w:val="15"/>
  </w:num>
  <w:num w:numId="18">
    <w:abstractNumId w:val="11"/>
  </w:num>
  <w:num w:numId="19">
    <w:abstractNumId w:val="14"/>
  </w:num>
  <w:num w:numId="20">
    <w:abstractNumId w:val="10"/>
  </w:num>
  <w:num w:numId="21">
    <w:abstractNumId w:val="16"/>
  </w:num>
  <w:num w:numId="22">
    <w:abstractNumId w:val="23"/>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C04D0"/>
    <w:rsid w:val="000F2568"/>
    <w:rsid w:val="00101DFF"/>
    <w:rsid w:val="001933B1"/>
    <w:rsid w:val="001A00F3"/>
    <w:rsid w:val="001A2D85"/>
    <w:rsid w:val="001E3981"/>
    <w:rsid w:val="0020549E"/>
    <w:rsid w:val="00241936"/>
    <w:rsid w:val="002773FF"/>
    <w:rsid w:val="0028329D"/>
    <w:rsid w:val="00286B6E"/>
    <w:rsid w:val="00292B60"/>
    <w:rsid w:val="00297A24"/>
    <w:rsid w:val="002B7FC8"/>
    <w:rsid w:val="002D6F50"/>
    <w:rsid w:val="002E1C83"/>
    <w:rsid w:val="002E2209"/>
    <w:rsid w:val="002E76A0"/>
    <w:rsid w:val="00302215"/>
    <w:rsid w:val="00345A00"/>
    <w:rsid w:val="0037390F"/>
    <w:rsid w:val="0038751C"/>
    <w:rsid w:val="003B6F61"/>
    <w:rsid w:val="003D782B"/>
    <w:rsid w:val="00407CE2"/>
    <w:rsid w:val="00433289"/>
    <w:rsid w:val="00486534"/>
    <w:rsid w:val="004866AB"/>
    <w:rsid w:val="004F751F"/>
    <w:rsid w:val="00512620"/>
    <w:rsid w:val="00540AA5"/>
    <w:rsid w:val="005567A0"/>
    <w:rsid w:val="00567354"/>
    <w:rsid w:val="005733FF"/>
    <w:rsid w:val="00587FBD"/>
    <w:rsid w:val="00610669"/>
    <w:rsid w:val="00617123"/>
    <w:rsid w:val="00626144"/>
    <w:rsid w:val="00663547"/>
    <w:rsid w:val="006678A6"/>
    <w:rsid w:val="00672180"/>
    <w:rsid w:val="00675768"/>
    <w:rsid w:val="006B5903"/>
    <w:rsid w:val="006D0418"/>
    <w:rsid w:val="006D1F75"/>
    <w:rsid w:val="006E3674"/>
    <w:rsid w:val="006F3EEB"/>
    <w:rsid w:val="00710B07"/>
    <w:rsid w:val="007752D0"/>
    <w:rsid w:val="00797C90"/>
    <w:rsid w:val="007B2B59"/>
    <w:rsid w:val="007C0F90"/>
    <w:rsid w:val="007C3F28"/>
    <w:rsid w:val="007C5AA4"/>
    <w:rsid w:val="008165C8"/>
    <w:rsid w:val="0082433E"/>
    <w:rsid w:val="008329D1"/>
    <w:rsid w:val="00851AFC"/>
    <w:rsid w:val="0085237C"/>
    <w:rsid w:val="00862189"/>
    <w:rsid w:val="008637F4"/>
    <w:rsid w:val="00880385"/>
    <w:rsid w:val="008A0BA8"/>
    <w:rsid w:val="008B0312"/>
    <w:rsid w:val="008F1CF0"/>
    <w:rsid w:val="008F49AA"/>
    <w:rsid w:val="00945066"/>
    <w:rsid w:val="0095764D"/>
    <w:rsid w:val="009740B4"/>
    <w:rsid w:val="009B25A8"/>
    <w:rsid w:val="009D0FDD"/>
    <w:rsid w:val="00A43099"/>
    <w:rsid w:val="00A8145D"/>
    <w:rsid w:val="00A83213"/>
    <w:rsid w:val="00A963C6"/>
    <w:rsid w:val="00A96E0F"/>
    <w:rsid w:val="00AB2209"/>
    <w:rsid w:val="00AC7F4E"/>
    <w:rsid w:val="00AE0681"/>
    <w:rsid w:val="00AF3E1A"/>
    <w:rsid w:val="00AF740C"/>
    <w:rsid w:val="00B01C16"/>
    <w:rsid w:val="00B406F4"/>
    <w:rsid w:val="00B76B2E"/>
    <w:rsid w:val="00B94639"/>
    <w:rsid w:val="00BD6F49"/>
    <w:rsid w:val="00C31FFD"/>
    <w:rsid w:val="00C323A8"/>
    <w:rsid w:val="00C51EA3"/>
    <w:rsid w:val="00C52C5A"/>
    <w:rsid w:val="00C81B70"/>
    <w:rsid w:val="00CC3D5D"/>
    <w:rsid w:val="00CE1423"/>
    <w:rsid w:val="00CE6646"/>
    <w:rsid w:val="00CF529C"/>
    <w:rsid w:val="00D0108E"/>
    <w:rsid w:val="00D543C2"/>
    <w:rsid w:val="00D6255C"/>
    <w:rsid w:val="00D63BAB"/>
    <w:rsid w:val="00D924CC"/>
    <w:rsid w:val="00DA2059"/>
    <w:rsid w:val="00DB73F4"/>
    <w:rsid w:val="00DC39B6"/>
    <w:rsid w:val="00E36469"/>
    <w:rsid w:val="00E42936"/>
    <w:rsid w:val="00EA0CB7"/>
    <w:rsid w:val="00F411CD"/>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0C04D0"/>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0C04D0"/>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xcte.org/resource-index" TargetMode="External"/><Relationship Id="rId18" Type="http://schemas.openxmlformats.org/officeDocument/2006/relationships/hyperlink" Target="https://www.edutopia.org/article/more-complete-picture-student-learn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topia.org/assessment-guide-importance" TargetMode="External"/><Relationship Id="rId7" Type="http://schemas.openxmlformats.org/officeDocument/2006/relationships/settings" Target="settings.xml"/><Relationship Id="rId12" Type="http://schemas.openxmlformats.org/officeDocument/2006/relationships/hyperlink" Target="https://tea.texas.gov/student.assessment/ell/telpas/" TargetMode="External"/><Relationship Id="rId17" Type="http://schemas.openxmlformats.org/officeDocument/2006/relationships/hyperlink" Target="https://www.ets.org/Media/Tests/TOEFL_Institutional_Testing_Program/ELLM2002.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ingcommons.stanford.edu/resources/teaching/evaluating-students/assessing-student-learning" TargetMode="External"/><Relationship Id="rId20" Type="http://schemas.openxmlformats.org/officeDocument/2006/relationships/hyperlink" Target="https://www.edutopia.org/article/will-letter-grades-surviv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student.assessment/staar/" TargetMode="External"/><Relationship Id="rId24" Type="http://schemas.openxmlformats.org/officeDocument/2006/relationships/hyperlink" Target="https://www.edutopia.org/assessment-guide-resources" TargetMode="External"/><Relationship Id="rId5" Type="http://schemas.openxmlformats.org/officeDocument/2006/relationships/numbering" Target="numbering.xml"/><Relationship Id="rId15" Type="http://schemas.openxmlformats.org/officeDocument/2006/relationships/hyperlink" Target="https://www.cte.cornell.edu/teaching-ideas/assessing-student-learning/self-assessment.html" TargetMode="External"/><Relationship Id="rId23" Type="http://schemas.openxmlformats.org/officeDocument/2006/relationships/hyperlink" Target="https://www.edutopia.org/assessment-guide-rubric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dutopia.org/article/7-grading-tips-new-teach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u.edu/teaching/assessment/assesslearning/index.html" TargetMode="External"/><Relationship Id="rId22" Type="http://schemas.openxmlformats.org/officeDocument/2006/relationships/hyperlink" Target="https://www.edutopia.org/assessment-guide-descriptio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EEFDAFCC994BE6926C83B88606B103"/>
        <w:category>
          <w:name w:val="General"/>
          <w:gallery w:val="placeholder"/>
        </w:category>
        <w:types>
          <w:type w:val="bbPlcHdr"/>
        </w:types>
        <w:behaviors>
          <w:behavior w:val="content"/>
        </w:behaviors>
        <w:guid w:val="{DB3A9E5D-9B5B-4786-8903-1347F8AF87A0}"/>
      </w:docPartPr>
      <w:docPartBody>
        <w:p w:rsidR="00593A60" w:rsidRDefault="00EE1EED" w:rsidP="00EE1EED">
          <w:pPr>
            <w:pStyle w:val="88EEFDAFCC994BE6926C83B88606B10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D"/>
    <w:rsid w:val="00474FA2"/>
    <w:rsid w:val="00593A60"/>
    <w:rsid w:val="00782162"/>
    <w:rsid w:val="00867104"/>
    <w:rsid w:val="00AD1CA6"/>
    <w:rsid w:val="00B64378"/>
    <w:rsid w:val="00E16108"/>
    <w:rsid w:val="00E471A3"/>
    <w:rsid w:val="00EE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EED"/>
  </w:style>
  <w:style w:type="paragraph" w:customStyle="1" w:styleId="88EEFDAFCC994BE6926C83B88606B103">
    <w:name w:val="88EEFDAFCC994BE6926C83B88606B103"/>
    <w:rsid w:val="00EE1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6BB74-341A-48A2-B956-DD938F4C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6</TotalTime>
  <Pages>5</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4</cp:revision>
  <cp:lastPrinted>2013-02-15T20:09:00Z</cp:lastPrinted>
  <dcterms:created xsi:type="dcterms:W3CDTF">2018-05-21T16:15:00Z</dcterms:created>
  <dcterms:modified xsi:type="dcterms:W3CDTF">2018-05-21T16:22:00Z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