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363BE" w14:textId="1AB73D2E" w:rsidR="008C29A4" w:rsidRDefault="008C29A4" w:rsidP="00440252">
      <w:pPr>
        <w:spacing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C258DE">
        <w:rPr>
          <w:rFonts w:ascii="Open Sans" w:eastAsia="Arial" w:hAnsi="Open Sans" w:cs="Arial"/>
          <w:b/>
          <w:bCs/>
          <w:sz w:val="24"/>
          <w:szCs w:val="24"/>
        </w:rPr>
        <w:t>Admission into Evidence Court Cases Research</w:t>
      </w:r>
      <w:r w:rsidR="00440252" w:rsidRPr="00C258DE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197AE531" w14:textId="77777777" w:rsidR="00C258DE" w:rsidRPr="00C258DE" w:rsidRDefault="00C258DE" w:rsidP="00440252">
      <w:pPr>
        <w:spacing w:line="240" w:lineRule="auto"/>
        <w:contextualSpacing/>
        <w:jc w:val="center"/>
        <w:rPr>
          <w:rFonts w:ascii="Open Sans" w:hAnsi="Open Sans"/>
          <w:sz w:val="24"/>
          <w:szCs w:val="24"/>
        </w:rPr>
      </w:pPr>
    </w:p>
    <w:p w14:paraId="689105A3" w14:textId="77777777" w:rsidR="00440252" w:rsidRPr="00C258DE" w:rsidRDefault="00440252" w:rsidP="00440252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right="160" w:hanging="35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 xml:space="preserve">Frye </w:t>
      </w:r>
      <w:proofErr w:type="gramStart"/>
      <w:r w:rsidRPr="00C258DE">
        <w:rPr>
          <w:rFonts w:ascii="Open Sans" w:eastAsia="Arial" w:hAnsi="Open Sans" w:cs="Arial"/>
          <w:sz w:val="24"/>
          <w:szCs w:val="24"/>
        </w:rPr>
        <w:t>stated</w:t>
      </w:r>
      <w:proofErr w:type="gramEnd"/>
      <w:r w:rsidRPr="00C258DE">
        <w:rPr>
          <w:rFonts w:ascii="Open Sans" w:eastAsia="Arial" w:hAnsi="Open Sans" w:cs="Arial"/>
          <w:sz w:val="24"/>
          <w:szCs w:val="24"/>
        </w:rPr>
        <w:t xml:space="preserve"> that all evidence must be generally accepted as reliable in the relevant scientific community. </w:t>
      </w:r>
      <w:proofErr w:type="spellStart"/>
      <w:r w:rsidRPr="00C258DE">
        <w:rPr>
          <w:rFonts w:ascii="Open Sans" w:eastAsia="Arial" w:hAnsi="Open Sans" w:cs="Arial"/>
          <w:sz w:val="24"/>
          <w:szCs w:val="24"/>
        </w:rPr>
        <w:t>Daubert</w:t>
      </w:r>
      <w:proofErr w:type="spellEnd"/>
      <w:r w:rsidRPr="00C258DE">
        <w:rPr>
          <w:rFonts w:ascii="Open Sans" w:eastAsia="Arial" w:hAnsi="Open Sans" w:cs="Arial"/>
          <w:sz w:val="24"/>
          <w:szCs w:val="24"/>
        </w:rPr>
        <w:t xml:space="preserve"> </w:t>
      </w:r>
      <w:proofErr w:type="gramStart"/>
      <w:r w:rsidRPr="00C258DE">
        <w:rPr>
          <w:rFonts w:ascii="Open Sans" w:eastAsia="Arial" w:hAnsi="Open Sans" w:cs="Arial"/>
          <w:sz w:val="24"/>
          <w:szCs w:val="24"/>
        </w:rPr>
        <w:t>stated</w:t>
      </w:r>
      <w:proofErr w:type="gramEnd"/>
      <w:r w:rsidRPr="00C258DE">
        <w:rPr>
          <w:rFonts w:ascii="Open Sans" w:eastAsia="Arial" w:hAnsi="Open Sans" w:cs="Arial"/>
          <w:sz w:val="24"/>
          <w:szCs w:val="24"/>
        </w:rPr>
        <w:t xml:space="preserve"> that the rigid requirement of Frye had been superseded by Rule 701 of the Federal Rules of Evidence. Judges could now </w:t>
      </w:r>
      <w:proofErr w:type="gramStart"/>
      <w:r w:rsidRPr="00C258DE">
        <w:rPr>
          <w:rFonts w:ascii="Open Sans" w:eastAsia="Arial" w:hAnsi="Open Sans" w:cs="Arial"/>
          <w:sz w:val="24"/>
          <w:szCs w:val="24"/>
        </w:rPr>
        <w:t>determine</w:t>
      </w:r>
      <w:proofErr w:type="gramEnd"/>
      <w:r w:rsidRPr="00C258DE">
        <w:rPr>
          <w:rFonts w:ascii="Open Sans" w:eastAsia="Arial" w:hAnsi="Open Sans" w:cs="Arial"/>
          <w:sz w:val="24"/>
          <w:szCs w:val="24"/>
        </w:rPr>
        <w:t xml:space="preserve"> at pretrial if evidence met the </w:t>
      </w:r>
      <w:proofErr w:type="spellStart"/>
      <w:r w:rsidRPr="00C258DE">
        <w:rPr>
          <w:rFonts w:ascii="Open Sans" w:eastAsia="Arial" w:hAnsi="Open Sans" w:cs="Arial"/>
          <w:sz w:val="24"/>
          <w:szCs w:val="24"/>
        </w:rPr>
        <w:t>Daubert</w:t>
      </w:r>
      <w:proofErr w:type="spellEnd"/>
      <w:r w:rsidRPr="00C258DE">
        <w:rPr>
          <w:rFonts w:ascii="Open Sans" w:eastAsia="Arial" w:hAnsi="Open Sans" w:cs="Arial"/>
          <w:sz w:val="24"/>
          <w:szCs w:val="24"/>
        </w:rPr>
        <w:t xml:space="preserve"> factors. Judges became the gate keepers; they could either allow or disallow the evidence at pretrial.</w:t>
      </w:r>
    </w:p>
    <w:p w14:paraId="1E921B81" w14:textId="77777777" w:rsidR="00440252" w:rsidRPr="00C258DE" w:rsidRDefault="00440252" w:rsidP="00440252">
      <w:pPr>
        <w:spacing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3B64CCD6" w14:textId="3FB17C40" w:rsidR="00440252" w:rsidRPr="00C258DE" w:rsidRDefault="00440252" w:rsidP="00440252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hanging="35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 xml:space="preserve">The </w:t>
      </w:r>
      <w:proofErr w:type="spellStart"/>
      <w:r w:rsidRPr="00C258DE">
        <w:rPr>
          <w:rFonts w:ascii="Open Sans" w:eastAsia="Arial" w:hAnsi="Open Sans" w:cs="Arial"/>
          <w:sz w:val="24"/>
          <w:szCs w:val="24"/>
        </w:rPr>
        <w:t>Daubert</w:t>
      </w:r>
      <w:proofErr w:type="spellEnd"/>
      <w:r w:rsidRPr="00C258DE">
        <w:rPr>
          <w:rFonts w:ascii="Open Sans" w:eastAsia="Arial" w:hAnsi="Open Sans" w:cs="Arial"/>
          <w:sz w:val="24"/>
          <w:szCs w:val="24"/>
        </w:rPr>
        <w:t xml:space="preserve"> factors are</w:t>
      </w:r>
    </w:p>
    <w:p w14:paraId="66EE4719" w14:textId="012668F2" w:rsidR="00440252" w:rsidRPr="00C258DE" w:rsidRDefault="00440252" w:rsidP="00440252">
      <w:pPr>
        <w:numPr>
          <w:ilvl w:val="1"/>
          <w:numId w:val="22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>Whether the theory or testimony could be or has been tested.</w:t>
      </w:r>
    </w:p>
    <w:p w14:paraId="20A348B8" w14:textId="5A0280C2" w:rsidR="00440252" w:rsidRPr="00C258DE" w:rsidRDefault="00440252" w:rsidP="00440252">
      <w:pPr>
        <w:numPr>
          <w:ilvl w:val="1"/>
          <w:numId w:val="22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>Whether the theory or technique has been subjected to peer review and publication.</w:t>
      </w:r>
    </w:p>
    <w:p w14:paraId="5BC6FFED" w14:textId="1235CF3F" w:rsidR="00440252" w:rsidRPr="00C258DE" w:rsidRDefault="00440252" w:rsidP="00440252">
      <w:pPr>
        <w:numPr>
          <w:ilvl w:val="1"/>
          <w:numId w:val="22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>Is there a known or potential error rate?</w:t>
      </w:r>
    </w:p>
    <w:p w14:paraId="68EE70DC" w14:textId="37A7F899" w:rsidR="00440252" w:rsidRPr="00C258DE" w:rsidRDefault="00440252" w:rsidP="00440252">
      <w:pPr>
        <w:numPr>
          <w:ilvl w:val="1"/>
          <w:numId w:val="22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>The existence and maintenance of standards controlling the technique’s operation.</w:t>
      </w:r>
    </w:p>
    <w:p w14:paraId="1E6C940C" w14:textId="77777777" w:rsidR="00440252" w:rsidRPr="00C258DE" w:rsidRDefault="00440252" w:rsidP="00440252">
      <w:pPr>
        <w:numPr>
          <w:ilvl w:val="1"/>
          <w:numId w:val="22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>“General acceptance” can still have a bearing on the inquiry.</w:t>
      </w:r>
    </w:p>
    <w:p w14:paraId="467847F5" w14:textId="77777777" w:rsidR="00440252" w:rsidRPr="00C258DE" w:rsidRDefault="00440252" w:rsidP="00440252">
      <w:pPr>
        <w:spacing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0F6D534E" w14:textId="77777777" w:rsidR="00440252" w:rsidRPr="00C258DE" w:rsidRDefault="00440252" w:rsidP="00440252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right="280" w:hanging="35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 xml:space="preserve">In this case, handwriting evidence did not meet the </w:t>
      </w:r>
      <w:proofErr w:type="spellStart"/>
      <w:r w:rsidRPr="00C258DE">
        <w:rPr>
          <w:rFonts w:ascii="Open Sans" w:eastAsia="Arial" w:hAnsi="Open Sans" w:cs="Arial"/>
          <w:sz w:val="24"/>
          <w:szCs w:val="24"/>
        </w:rPr>
        <w:t>Daubert</w:t>
      </w:r>
      <w:proofErr w:type="spellEnd"/>
      <w:r w:rsidRPr="00C258DE">
        <w:rPr>
          <w:rFonts w:ascii="Open Sans" w:eastAsia="Arial" w:hAnsi="Open Sans" w:cs="Arial"/>
          <w:sz w:val="24"/>
          <w:szCs w:val="24"/>
        </w:rPr>
        <w:t xml:space="preserve"> factors, but the case found handwriting analysis to be considered technical and admissible. The case did not meet the </w:t>
      </w:r>
      <w:proofErr w:type="spellStart"/>
      <w:r w:rsidRPr="00C258DE">
        <w:rPr>
          <w:rFonts w:ascii="Open Sans" w:eastAsia="Arial" w:hAnsi="Open Sans" w:cs="Arial"/>
          <w:sz w:val="24"/>
          <w:szCs w:val="24"/>
        </w:rPr>
        <w:t>Daubert</w:t>
      </w:r>
      <w:proofErr w:type="spellEnd"/>
      <w:r w:rsidRPr="00C258DE">
        <w:rPr>
          <w:rFonts w:ascii="Open Sans" w:eastAsia="Arial" w:hAnsi="Open Sans" w:cs="Arial"/>
          <w:sz w:val="24"/>
          <w:szCs w:val="24"/>
        </w:rPr>
        <w:t xml:space="preserve"> standards because handwriting analysis had not been subject </w:t>
      </w:r>
      <w:proofErr w:type="gramStart"/>
      <w:r w:rsidRPr="00C258DE">
        <w:rPr>
          <w:rFonts w:ascii="Open Sans" w:eastAsia="Arial" w:hAnsi="Open Sans" w:cs="Arial"/>
          <w:sz w:val="24"/>
          <w:szCs w:val="24"/>
        </w:rPr>
        <w:t>as yet</w:t>
      </w:r>
      <w:proofErr w:type="gramEnd"/>
      <w:r w:rsidRPr="00C258DE">
        <w:rPr>
          <w:rFonts w:ascii="Open Sans" w:eastAsia="Arial" w:hAnsi="Open Sans" w:cs="Arial"/>
          <w:sz w:val="24"/>
          <w:szCs w:val="24"/>
        </w:rPr>
        <w:t xml:space="preserve"> to rigorous testing, the error rate was not known, and published article reports differed from those in scientific journals.</w:t>
      </w:r>
    </w:p>
    <w:p w14:paraId="70218DE2" w14:textId="77777777" w:rsidR="00440252" w:rsidRPr="00C258DE" w:rsidRDefault="00440252" w:rsidP="00440252">
      <w:pPr>
        <w:spacing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524CF9EE" w14:textId="77777777" w:rsidR="00440252" w:rsidRPr="00C258DE" w:rsidRDefault="00440252" w:rsidP="00440252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 w:right="340" w:hanging="35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 xml:space="preserve">This case expanded </w:t>
      </w:r>
      <w:proofErr w:type="spellStart"/>
      <w:r w:rsidRPr="00C258DE">
        <w:rPr>
          <w:rFonts w:ascii="Open Sans" w:eastAsia="Arial" w:hAnsi="Open Sans" w:cs="Arial"/>
          <w:sz w:val="24"/>
          <w:szCs w:val="24"/>
        </w:rPr>
        <w:t>Daubert</w:t>
      </w:r>
      <w:proofErr w:type="spellEnd"/>
      <w:r w:rsidRPr="00C258DE">
        <w:rPr>
          <w:rFonts w:ascii="Open Sans" w:eastAsia="Arial" w:hAnsi="Open Sans" w:cs="Arial"/>
          <w:sz w:val="24"/>
          <w:szCs w:val="24"/>
        </w:rPr>
        <w:t xml:space="preserve"> to all types of expert witness testimony and not just scientific expert testimony.</w:t>
      </w:r>
    </w:p>
    <w:p w14:paraId="6E1D0FC7" w14:textId="77777777" w:rsidR="00440252" w:rsidRPr="00C258DE" w:rsidRDefault="00440252" w:rsidP="00440252">
      <w:pPr>
        <w:spacing w:line="240" w:lineRule="auto"/>
        <w:contextualSpacing/>
        <w:rPr>
          <w:rFonts w:ascii="Open Sans" w:eastAsia="Arial" w:hAnsi="Open Sans" w:cs="Arial"/>
          <w:sz w:val="24"/>
          <w:szCs w:val="24"/>
        </w:rPr>
      </w:pPr>
    </w:p>
    <w:p w14:paraId="6A993AAD" w14:textId="03931C07" w:rsidR="00440252" w:rsidRPr="00C258DE" w:rsidRDefault="00440252" w:rsidP="00440252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720" w:right="160" w:hanging="71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>a. The court believes that today there is more “general acceptance” of handwriting analysis based upon its use by Scotland Yard, the Secret Service, the FBI, and the CIA.</w:t>
      </w:r>
    </w:p>
    <w:p w14:paraId="136CFEC1" w14:textId="77777777" w:rsidR="00440252" w:rsidRPr="00C258DE" w:rsidRDefault="00440252" w:rsidP="00440252">
      <w:pPr>
        <w:numPr>
          <w:ilvl w:val="1"/>
          <w:numId w:val="23"/>
        </w:numPr>
        <w:tabs>
          <w:tab w:val="left" w:pos="720"/>
        </w:tabs>
        <w:spacing w:after="0" w:line="240" w:lineRule="auto"/>
        <w:ind w:left="720" w:hanging="352"/>
        <w:contextualSpacing/>
        <w:rPr>
          <w:rFonts w:ascii="Open Sans" w:eastAsia="Arial" w:hAnsi="Open Sans" w:cs="Arial"/>
          <w:sz w:val="24"/>
          <w:szCs w:val="24"/>
        </w:rPr>
      </w:pPr>
      <w:r w:rsidRPr="00C258DE">
        <w:rPr>
          <w:rFonts w:ascii="Open Sans" w:eastAsia="Arial" w:hAnsi="Open Sans" w:cs="Arial"/>
          <w:sz w:val="24"/>
          <w:szCs w:val="24"/>
        </w:rPr>
        <w:t>Fifteen universities now offer courses in forensics that include handwriting analysis.</w:t>
      </w:r>
    </w:p>
    <w:p w14:paraId="16686C32" w14:textId="409A9059" w:rsidR="002A2AA3" w:rsidRPr="00C258DE" w:rsidRDefault="008C29A4" w:rsidP="00440252">
      <w:pPr>
        <w:spacing w:line="240" w:lineRule="auto"/>
        <w:contextualSpacing/>
        <w:rPr>
          <w:rFonts w:ascii="Open Sans" w:hAnsi="Open Sans"/>
        </w:rPr>
      </w:pPr>
      <w:r w:rsidRPr="00C258DE">
        <w:rPr>
          <w:rFonts w:ascii="Open Sans" w:hAnsi="Open Sans"/>
        </w:rPr>
        <w:br w:type="page"/>
      </w:r>
    </w:p>
    <w:tbl>
      <w:tblPr>
        <w:tblStyle w:val="TableGrid"/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1351"/>
        <w:gridCol w:w="1710"/>
        <w:gridCol w:w="3060"/>
        <w:gridCol w:w="2507"/>
      </w:tblGrid>
      <w:tr w:rsidR="002A2AA3" w:rsidRPr="00C258DE" w14:paraId="3D50903E" w14:textId="77777777" w:rsidTr="002A2AA3">
        <w:trPr>
          <w:trHeight w:val="377"/>
          <w:jc w:val="center"/>
        </w:trPr>
        <w:tc>
          <w:tcPr>
            <w:tcW w:w="10785" w:type="dxa"/>
            <w:gridSpan w:val="5"/>
            <w:shd w:val="clear" w:color="auto" w:fill="000000" w:themeFill="text1"/>
            <w:vAlign w:val="center"/>
          </w:tcPr>
          <w:p w14:paraId="05E1AA57" w14:textId="633E39BC" w:rsidR="002A2AA3" w:rsidRPr="00C258DE" w:rsidRDefault="002A2AA3" w:rsidP="00440252">
            <w:pPr>
              <w:contextualSpacing/>
              <w:jc w:val="center"/>
              <w:rPr>
                <w:rFonts w:ascii="Open Sans" w:hAnsi="Open Sans"/>
                <w:b/>
              </w:rPr>
            </w:pPr>
            <w:r w:rsidRPr="00C258DE">
              <w:rPr>
                <w:rFonts w:ascii="Open Sans" w:hAnsi="Open Sans"/>
                <w:b/>
              </w:rPr>
              <w:lastRenderedPageBreak/>
              <w:t>Important Court Cases in Acceptance of Evidence</w:t>
            </w:r>
          </w:p>
        </w:tc>
      </w:tr>
      <w:tr w:rsidR="007B68AD" w:rsidRPr="00C258DE" w14:paraId="1E688EFC" w14:textId="77777777" w:rsidTr="007B68AD">
        <w:trPr>
          <w:trHeight w:val="422"/>
          <w:jc w:val="center"/>
        </w:trPr>
        <w:tc>
          <w:tcPr>
            <w:tcW w:w="2157" w:type="dxa"/>
            <w:shd w:val="clear" w:color="auto" w:fill="808080" w:themeFill="background1" w:themeFillShade="80"/>
            <w:vAlign w:val="center"/>
          </w:tcPr>
          <w:p w14:paraId="32849CA5" w14:textId="5086F9EF" w:rsidR="002A2AA3" w:rsidRPr="00C258DE" w:rsidRDefault="002A2AA3" w:rsidP="00440252">
            <w:pPr>
              <w:contextualSpacing/>
              <w:jc w:val="center"/>
              <w:rPr>
                <w:rFonts w:ascii="Open Sans" w:hAnsi="Open Sans"/>
                <w:b/>
              </w:rPr>
            </w:pPr>
            <w:bookmarkStart w:id="0" w:name="_GoBack" w:colFirst="2" w:colLast="3"/>
            <w:r w:rsidRPr="00C258DE">
              <w:rPr>
                <w:rFonts w:ascii="Open Sans" w:hAnsi="Open Sans"/>
                <w:b/>
              </w:rPr>
              <w:t>Case</w:t>
            </w:r>
          </w:p>
        </w:tc>
        <w:tc>
          <w:tcPr>
            <w:tcW w:w="1351" w:type="dxa"/>
            <w:shd w:val="clear" w:color="auto" w:fill="808080" w:themeFill="background1" w:themeFillShade="80"/>
            <w:vAlign w:val="center"/>
          </w:tcPr>
          <w:p w14:paraId="247A3CA3" w14:textId="56B7F37E" w:rsidR="002A2AA3" w:rsidRPr="00C258DE" w:rsidRDefault="002A2AA3" w:rsidP="00440252">
            <w:pPr>
              <w:contextualSpacing/>
              <w:jc w:val="center"/>
              <w:rPr>
                <w:rFonts w:ascii="Open Sans" w:hAnsi="Open Sans"/>
                <w:b/>
              </w:rPr>
            </w:pPr>
            <w:r w:rsidRPr="00C258DE">
              <w:rPr>
                <w:rFonts w:ascii="Open Sans" w:hAnsi="Open Sans"/>
                <w:b/>
              </w:rPr>
              <w:t>Date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14:paraId="23938ECD" w14:textId="77777777" w:rsidR="002A2AA3" w:rsidRPr="00C258DE" w:rsidRDefault="002A2AA3" w:rsidP="00440252">
            <w:pPr>
              <w:contextualSpacing/>
              <w:jc w:val="center"/>
              <w:rPr>
                <w:rFonts w:ascii="Open Sans" w:hAnsi="Open Sans"/>
                <w:b/>
              </w:rPr>
            </w:pPr>
            <w:r w:rsidRPr="00C258DE">
              <w:rPr>
                <w:rFonts w:ascii="Open Sans" w:hAnsi="Open Sans"/>
                <w:b/>
              </w:rPr>
              <w:t>Case</w:t>
            </w:r>
          </w:p>
          <w:p w14:paraId="0074F2C4" w14:textId="3C9DB80B" w:rsidR="002A2AA3" w:rsidRPr="00C258DE" w:rsidRDefault="002A2AA3" w:rsidP="00440252">
            <w:pPr>
              <w:contextualSpacing/>
              <w:jc w:val="center"/>
              <w:rPr>
                <w:rFonts w:ascii="Open Sans" w:hAnsi="Open Sans"/>
                <w:b/>
              </w:rPr>
            </w:pPr>
            <w:r w:rsidRPr="00C258DE">
              <w:rPr>
                <w:rFonts w:ascii="Open Sans" w:hAnsi="Open Sans"/>
                <w:b/>
              </w:rPr>
              <w:t>Number</w:t>
            </w:r>
          </w:p>
        </w:tc>
        <w:tc>
          <w:tcPr>
            <w:tcW w:w="3060" w:type="dxa"/>
            <w:shd w:val="clear" w:color="auto" w:fill="808080" w:themeFill="background1" w:themeFillShade="80"/>
            <w:vAlign w:val="center"/>
          </w:tcPr>
          <w:p w14:paraId="2191E980" w14:textId="73A4F88E" w:rsidR="002A2AA3" w:rsidRPr="00C258DE" w:rsidRDefault="002A2AA3" w:rsidP="00440252">
            <w:pPr>
              <w:contextualSpacing/>
              <w:jc w:val="center"/>
              <w:rPr>
                <w:rFonts w:ascii="Open Sans" w:hAnsi="Open Sans"/>
                <w:b/>
              </w:rPr>
            </w:pPr>
            <w:r w:rsidRPr="00C258DE">
              <w:rPr>
                <w:rFonts w:ascii="Open Sans" w:hAnsi="Open Sans"/>
                <w:b/>
              </w:rPr>
              <w:t>Summary of Case and Decision</w:t>
            </w:r>
          </w:p>
        </w:tc>
        <w:tc>
          <w:tcPr>
            <w:tcW w:w="2507" w:type="dxa"/>
            <w:shd w:val="clear" w:color="auto" w:fill="808080" w:themeFill="background1" w:themeFillShade="80"/>
            <w:vAlign w:val="center"/>
          </w:tcPr>
          <w:p w14:paraId="75B791FD" w14:textId="3371E2C5" w:rsidR="002A2AA3" w:rsidRPr="00C258DE" w:rsidRDefault="002A2AA3" w:rsidP="00440252">
            <w:pPr>
              <w:contextualSpacing/>
              <w:jc w:val="center"/>
              <w:rPr>
                <w:rFonts w:ascii="Open Sans" w:hAnsi="Open Sans"/>
                <w:b/>
              </w:rPr>
            </w:pPr>
            <w:r w:rsidRPr="00C258DE">
              <w:rPr>
                <w:rFonts w:ascii="Open Sans" w:hAnsi="Open Sans"/>
                <w:b/>
              </w:rPr>
              <w:t>Notes on Impact</w:t>
            </w:r>
          </w:p>
        </w:tc>
      </w:tr>
      <w:bookmarkEnd w:id="0"/>
      <w:tr w:rsidR="008A4851" w:rsidRPr="00C258DE" w14:paraId="0157D8E1" w14:textId="77777777" w:rsidTr="00285F0D">
        <w:trPr>
          <w:trHeight w:val="1007"/>
          <w:jc w:val="center"/>
        </w:trPr>
        <w:tc>
          <w:tcPr>
            <w:tcW w:w="2157" w:type="dxa"/>
            <w:shd w:val="clear" w:color="auto" w:fill="D0CECE" w:themeFill="background2" w:themeFillShade="E6"/>
          </w:tcPr>
          <w:p w14:paraId="226B3B1E" w14:textId="1E8C6A01" w:rsidR="002A2AA3" w:rsidRPr="00285F0D" w:rsidRDefault="00612388" w:rsidP="00440252">
            <w:pPr>
              <w:contextualSpacing/>
              <w:rPr>
                <w:rFonts w:ascii="Open Sans" w:hAnsi="Open Sans"/>
                <w:i/>
              </w:rPr>
            </w:pPr>
            <w:r w:rsidRPr="00285F0D">
              <w:rPr>
                <w:rFonts w:ascii="Open Sans" w:hAnsi="Open Sans"/>
                <w:i/>
              </w:rPr>
              <w:t>Frye v. United States</w:t>
            </w:r>
          </w:p>
        </w:tc>
        <w:tc>
          <w:tcPr>
            <w:tcW w:w="1351" w:type="dxa"/>
          </w:tcPr>
          <w:p w14:paraId="00530A51" w14:textId="33317040" w:rsidR="002A2AA3" w:rsidRPr="00285F0D" w:rsidRDefault="00440252" w:rsidP="00440252">
            <w:pPr>
              <w:contextualSpacing/>
              <w:jc w:val="center"/>
              <w:rPr>
                <w:rFonts w:ascii="Open Sans" w:hAnsi="Open Sans"/>
                <w:b/>
              </w:rPr>
            </w:pPr>
            <w:r w:rsidRPr="00285F0D">
              <w:rPr>
                <w:rFonts w:ascii="Open Sans" w:hAnsi="Open Sans"/>
                <w:b/>
              </w:rPr>
              <w:t>1923</w:t>
            </w:r>
          </w:p>
        </w:tc>
        <w:tc>
          <w:tcPr>
            <w:tcW w:w="1710" w:type="dxa"/>
          </w:tcPr>
          <w:p w14:paraId="2F420C50" w14:textId="77777777" w:rsidR="00440252" w:rsidRPr="00285F0D" w:rsidRDefault="00440252" w:rsidP="00440252">
            <w:pPr>
              <w:contextualSpacing/>
              <w:rPr>
                <w:rFonts w:ascii="Open Sans" w:hAnsi="Open Sans"/>
                <w:b/>
              </w:rPr>
            </w:pPr>
            <w:proofErr w:type="spellStart"/>
            <w:r w:rsidRPr="00285F0D">
              <w:rPr>
                <w:rFonts w:ascii="Open Sans" w:hAnsi="Open Sans"/>
                <w:b/>
              </w:rPr>
              <w:t>App.D.C</w:t>
            </w:r>
            <w:proofErr w:type="spellEnd"/>
            <w:r w:rsidRPr="00285F0D">
              <w:rPr>
                <w:rFonts w:ascii="Open Sans" w:hAnsi="Open Sans"/>
                <w:b/>
              </w:rPr>
              <w:t>.</w:t>
            </w:r>
          </w:p>
          <w:p w14:paraId="0CBF7801" w14:textId="757CB068" w:rsidR="002A2AA3" w:rsidRPr="00285F0D" w:rsidRDefault="00440252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  <w:b/>
              </w:rPr>
              <w:t>1923</w:t>
            </w:r>
          </w:p>
        </w:tc>
        <w:tc>
          <w:tcPr>
            <w:tcW w:w="3060" w:type="dxa"/>
          </w:tcPr>
          <w:p w14:paraId="286B8925" w14:textId="0CC93B51" w:rsidR="002A2AA3" w:rsidRPr="00285F0D" w:rsidRDefault="00440252" w:rsidP="00440252">
            <w:pPr>
              <w:contextualSpacing/>
              <w:rPr>
                <w:rFonts w:ascii="Open Sans" w:hAnsi="Open Sans"/>
                <w:b/>
              </w:rPr>
            </w:pPr>
            <w:r w:rsidRPr="00285F0D">
              <w:rPr>
                <w:rFonts w:ascii="Open Sans" w:hAnsi="Open Sans"/>
                <w:b/>
              </w:rPr>
              <w:t>Expert</w:t>
            </w:r>
            <w:r w:rsidR="00C258DE" w:rsidRPr="00285F0D">
              <w:rPr>
                <w:rFonts w:ascii="Open Sans" w:hAnsi="Open Sans"/>
                <w:b/>
              </w:rPr>
              <w:t xml:space="preserve"> opinion based on scientific techniques was admissible if the technique was “generally accepted as reliable in the relevant scientific community. </w:t>
            </w:r>
          </w:p>
        </w:tc>
        <w:tc>
          <w:tcPr>
            <w:tcW w:w="2507" w:type="dxa"/>
          </w:tcPr>
          <w:p w14:paraId="40791CEF" w14:textId="198C1EDA" w:rsidR="002A2AA3" w:rsidRPr="00285F0D" w:rsidRDefault="00C258DE" w:rsidP="00440252">
            <w:pPr>
              <w:contextualSpacing/>
              <w:rPr>
                <w:rFonts w:ascii="Open Sans" w:hAnsi="Open Sans"/>
                <w:b/>
              </w:rPr>
            </w:pPr>
            <w:r w:rsidRPr="00285F0D">
              <w:rPr>
                <w:rFonts w:ascii="Open Sans" w:hAnsi="Open Sans"/>
                <w:b/>
              </w:rPr>
              <w:t xml:space="preserve">“General Acceptance Test” </w:t>
            </w:r>
            <w:proofErr w:type="gramStart"/>
            <w:r w:rsidRPr="00285F0D">
              <w:rPr>
                <w:rFonts w:ascii="Open Sans" w:hAnsi="Open Sans"/>
                <w:b/>
              </w:rPr>
              <w:t>Established</w:t>
            </w:r>
            <w:proofErr w:type="gramEnd"/>
            <w:r w:rsidRPr="00285F0D">
              <w:rPr>
                <w:rFonts w:ascii="Open Sans" w:hAnsi="Open Sans"/>
                <w:b/>
              </w:rPr>
              <w:t xml:space="preserve"> the general acceptance standard for allowing the use of expert testimony.</w:t>
            </w:r>
          </w:p>
        </w:tc>
      </w:tr>
      <w:tr w:rsidR="008A4851" w:rsidRPr="00C258DE" w14:paraId="6E9FB0ED" w14:textId="77777777" w:rsidTr="00285F0D">
        <w:trPr>
          <w:trHeight w:val="1440"/>
          <w:jc w:val="center"/>
        </w:trPr>
        <w:tc>
          <w:tcPr>
            <w:tcW w:w="2157" w:type="dxa"/>
            <w:shd w:val="clear" w:color="auto" w:fill="D0CECE" w:themeFill="background2" w:themeFillShade="E6"/>
          </w:tcPr>
          <w:p w14:paraId="064FE64E" w14:textId="5E6CBABB" w:rsidR="002A2AA3" w:rsidRPr="00285F0D" w:rsidRDefault="00C258DE" w:rsidP="00C258DE">
            <w:pPr>
              <w:rPr>
                <w:rFonts w:ascii="Open Sans" w:hAnsi="Open Sans"/>
                <w:b/>
              </w:rPr>
            </w:pPr>
            <w:proofErr w:type="spellStart"/>
            <w:r w:rsidRPr="00285F0D">
              <w:rPr>
                <w:rFonts w:ascii="Open Sans" w:hAnsi="Open Sans"/>
                <w:b/>
                <w:i/>
              </w:rPr>
              <w:t>Daubert</w:t>
            </w:r>
            <w:proofErr w:type="spellEnd"/>
            <w:r w:rsidRPr="00285F0D">
              <w:rPr>
                <w:rFonts w:ascii="Open Sans" w:hAnsi="Open Sans"/>
                <w:b/>
                <w:i/>
              </w:rPr>
              <w:t xml:space="preserve"> v. Merrell Dow Pharmaceuticals</w:t>
            </w:r>
            <w:r w:rsidRPr="00285F0D">
              <w:rPr>
                <w:rFonts w:ascii="Open Sans" w:hAnsi="Open Sans"/>
                <w:b/>
              </w:rPr>
              <w:t xml:space="preserve"> </w:t>
            </w:r>
          </w:p>
        </w:tc>
        <w:tc>
          <w:tcPr>
            <w:tcW w:w="1351" w:type="dxa"/>
          </w:tcPr>
          <w:p w14:paraId="6D3C3E0F" w14:textId="1B3B616E" w:rsidR="002A2AA3" w:rsidRPr="00285F0D" w:rsidRDefault="00612388" w:rsidP="00440252">
            <w:pPr>
              <w:contextualSpacing/>
              <w:jc w:val="center"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1993</w:t>
            </w:r>
          </w:p>
        </w:tc>
        <w:tc>
          <w:tcPr>
            <w:tcW w:w="1710" w:type="dxa"/>
          </w:tcPr>
          <w:p w14:paraId="7B3FB624" w14:textId="77777777" w:rsidR="00612388" w:rsidRPr="00285F0D" w:rsidRDefault="00612388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509 US</w:t>
            </w:r>
          </w:p>
          <w:p w14:paraId="0AD8DE39" w14:textId="77777777" w:rsidR="00BE44AD" w:rsidRPr="00285F0D" w:rsidRDefault="00612388" w:rsidP="00440252">
            <w:pPr>
              <w:contextualSpacing/>
              <w:rPr>
                <w:rFonts w:ascii="Open Sans" w:hAnsi="Open Sans"/>
                <w:noProof/>
              </w:rPr>
            </w:pPr>
            <w:r w:rsidRPr="00285F0D">
              <w:rPr>
                <w:rFonts w:ascii="Open Sans" w:hAnsi="Open Sans"/>
                <w:noProof/>
              </w:rPr>
              <w:t>579, 113</w:t>
            </w:r>
          </w:p>
          <w:p w14:paraId="31962738" w14:textId="77777777" w:rsidR="00BE44AD" w:rsidRPr="00285F0D" w:rsidRDefault="00BE44AD" w:rsidP="00440252">
            <w:pPr>
              <w:contextualSpacing/>
              <w:rPr>
                <w:rFonts w:ascii="Open Sans" w:hAnsi="Open Sans"/>
              </w:rPr>
            </w:pPr>
            <w:proofErr w:type="spellStart"/>
            <w:proofErr w:type="gramStart"/>
            <w:r w:rsidRPr="00285F0D">
              <w:rPr>
                <w:rFonts w:ascii="Open Sans" w:hAnsi="Open Sans"/>
              </w:rPr>
              <w:t>S.Ct</w:t>
            </w:r>
            <w:proofErr w:type="spellEnd"/>
            <w:proofErr w:type="gramEnd"/>
            <w:r w:rsidRPr="00285F0D">
              <w:rPr>
                <w:rFonts w:ascii="Open Sans" w:hAnsi="Open Sans"/>
              </w:rPr>
              <w:t xml:space="preserve"> 2786.</w:t>
            </w:r>
          </w:p>
          <w:p w14:paraId="15C647BF" w14:textId="77777777" w:rsidR="00BE44AD" w:rsidRPr="00285F0D" w:rsidRDefault="00BE44AD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125 L. Ed.</w:t>
            </w:r>
          </w:p>
          <w:p w14:paraId="3B25BB59" w14:textId="5F756C73" w:rsidR="002A2AA3" w:rsidRPr="00285F0D" w:rsidRDefault="00BE44AD" w:rsidP="00440252">
            <w:pPr>
              <w:contextualSpacing/>
              <w:rPr>
                <w:rFonts w:ascii="Open Sans" w:hAnsi="Open Sans"/>
              </w:rPr>
            </w:pPr>
            <w:proofErr w:type="spellStart"/>
            <w:r w:rsidRPr="00285F0D">
              <w:rPr>
                <w:rFonts w:ascii="Open Sans" w:hAnsi="Open Sans"/>
              </w:rPr>
              <w:t>2d</w:t>
            </w:r>
            <w:proofErr w:type="spellEnd"/>
            <w:r w:rsidRPr="00285F0D">
              <w:rPr>
                <w:rFonts w:ascii="Open Sans" w:hAnsi="Open Sans"/>
              </w:rPr>
              <w:t xml:space="preserve"> 469</w:t>
            </w:r>
          </w:p>
        </w:tc>
        <w:tc>
          <w:tcPr>
            <w:tcW w:w="3060" w:type="dxa"/>
          </w:tcPr>
          <w:p w14:paraId="31912B29" w14:textId="186CCDA6" w:rsidR="002A2AA3" w:rsidRPr="00285F0D" w:rsidRDefault="00C258DE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  <w:b/>
              </w:rPr>
              <w:t xml:space="preserve">Rigid </w:t>
            </w:r>
            <w:proofErr w:type="gramStart"/>
            <w:r w:rsidRPr="00285F0D">
              <w:rPr>
                <w:rFonts w:ascii="Open Sans" w:hAnsi="Open Sans"/>
                <w:b/>
              </w:rPr>
              <w:t>requirement</w:t>
            </w:r>
            <w:proofErr w:type="gramEnd"/>
            <w:r w:rsidRPr="00285F0D">
              <w:rPr>
                <w:rFonts w:ascii="Open Sans" w:hAnsi="Open Sans"/>
                <w:b/>
              </w:rPr>
              <w:t xml:space="preserve"> of Frye had been superseded by Rule 701 of the Federal Rules of Evidence could be allowed in court.</w:t>
            </w:r>
          </w:p>
        </w:tc>
        <w:tc>
          <w:tcPr>
            <w:tcW w:w="2507" w:type="dxa"/>
          </w:tcPr>
          <w:p w14:paraId="36BC7E26" w14:textId="77777777" w:rsidR="00BE44AD" w:rsidRPr="00285F0D" w:rsidRDefault="00612388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Created “gate- keeping” role for judges.</w:t>
            </w:r>
          </w:p>
          <w:p w14:paraId="293197F7" w14:textId="3E02781D" w:rsidR="002A2AA3" w:rsidRPr="00285F0D" w:rsidRDefault="00BE44AD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Expert Witnesses meant hearsay was allowed in court of law.</w:t>
            </w:r>
          </w:p>
        </w:tc>
      </w:tr>
      <w:tr w:rsidR="008A4851" w:rsidRPr="00C258DE" w14:paraId="744A2EB1" w14:textId="77777777" w:rsidTr="00285F0D">
        <w:trPr>
          <w:trHeight w:val="1440"/>
          <w:jc w:val="center"/>
        </w:trPr>
        <w:tc>
          <w:tcPr>
            <w:tcW w:w="2157" w:type="dxa"/>
            <w:shd w:val="clear" w:color="auto" w:fill="D0CECE" w:themeFill="background2" w:themeFillShade="E6"/>
          </w:tcPr>
          <w:p w14:paraId="7F5357E6" w14:textId="46B8C645" w:rsidR="002A2AA3" w:rsidRPr="00285F0D" w:rsidRDefault="00C258DE" w:rsidP="00440252">
            <w:pPr>
              <w:contextualSpacing/>
              <w:rPr>
                <w:rFonts w:ascii="Open Sans" w:hAnsi="Open Sans"/>
                <w:b/>
                <w:i/>
              </w:rPr>
            </w:pPr>
            <w:r w:rsidRPr="00285F0D">
              <w:rPr>
                <w:rFonts w:ascii="Open Sans" w:hAnsi="Open Sans"/>
                <w:b/>
                <w:i/>
              </w:rPr>
              <w:t xml:space="preserve">United States v. </w:t>
            </w:r>
            <w:proofErr w:type="spellStart"/>
            <w:r w:rsidRPr="00285F0D">
              <w:rPr>
                <w:rFonts w:ascii="Open Sans" w:hAnsi="Open Sans"/>
                <w:b/>
                <w:i/>
              </w:rPr>
              <w:t>Starzecpyzel</w:t>
            </w:r>
            <w:proofErr w:type="spellEnd"/>
          </w:p>
        </w:tc>
        <w:tc>
          <w:tcPr>
            <w:tcW w:w="1351" w:type="dxa"/>
          </w:tcPr>
          <w:p w14:paraId="3B6010A9" w14:textId="47AAA101" w:rsidR="002A2AA3" w:rsidRPr="00285F0D" w:rsidRDefault="00612388" w:rsidP="00440252">
            <w:pPr>
              <w:contextualSpacing/>
              <w:jc w:val="center"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1995</w:t>
            </w:r>
          </w:p>
        </w:tc>
        <w:tc>
          <w:tcPr>
            <w:tcW w:w="1710" w:type="dxa"/>
          </w:tcPr>
          <w:p w14:paraId="20D40A15" w14:textId="77777777" w:rsidR="008A4851" w:rsidRPr="00285F0D" w:rsidRDefault="008A4851" w:rsidP="00440252">
            <w:pPr>
              <w:contextualSpacing/>
              <w:rPr>
                <w:rFonts w:ascii="Open Sans" w:hAnsi="Open Sans"/>
              </w:rPr>
            </w:pPr>
            <w:proofErr w:type="spellStart"/>
            <w:r w:rsidRPr="00285F0D">
              <w:rPr>
                <w:rFonts w:ascii="Open Sans" w:hAnsi="Open Sans"/>
              </w:rPr>
              <w:t>880F</w:t>
            </w:r>
            <w:proofErr w:type="spellEnd"/>
            <w:r w:rsidRPr="00285F0D">
              <w:rPr>
                <w:rFonts w:ascii="Open Sans" w:hAnsi="Open Sans"/>
              </w:rPr>
              <w:t>.</w:t>
            </w:r>
            <w:r w:rsidRPr="00285F0D">
              <w:rPr>
                <w:rFonts w:ascii="Open Sans" w:hAnsi="Open Sans"/>
              </w:rPr>
              <w:tab/>
            </w:r>
          </w:p>
          <w:p w14:paraId="6AC5E0F6" w14:textId="77777777" w:rsidR="008A4851" w:rsidRPr="00285F0D" w:rsidRDefault="008A4851" w:rsidP="00440252">
            <w:pPr>
              <w:contextualSpacing/>
              <w:rPr>
                <w:rFonts w:ascii="Open Sans" w:hAnsi="Open Sans"/>
                <w:noProof/>
              </w:rPr>
            </w:pPr>
            <w:r w:rsidRPr="00285F0D">
              <w:rPr>
                <w:rFonts w:ascii="Open Sans" w:hAnsi="Open Sans"/>
                <w:noProof/>
              </w:rPr>
              <w:t>Supp.1027</w:t>
            </w:r>
          </w:p>
          <w:p w14:paraId="6F6BF1D8" w14:textId="55D9460F" w:rsidR="002A2AA3" w:rsidRPr="00285F0D" w:rsidRDefault="008A4851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(</w:t>
            </w:r>
            <w:proofErr w:type="spellStart"/>
            <w:r w:rsidRPr="00285F0D">
              <w:rPr>
                <w:rFonts w:ascii="Open Sans" w:hAnsi="Open Sans"/>
              </w:rPr>
              <w:t>S.D.N.Y</w:t>
            </w:r>
            <w:proofErr w:type="spellEnd"/>
            <w:r w:rsidRPr="00285F0D">
              <w:rPr>
                <w:rFonts w:ascii="Open Sans" w:hAnsi="Open Sans"/>
              </w:rPr>
              <w:t>. 1995)</w:t>
            </w:r>
          </w:p>
        </w:tc>
        <w:tc>
          <w:tcPr>
            <w:tcW w:w="3060" w:type="dxa"/>
          </w:tcPr>
          <w:p w14:paraId="1B29CC21" w14:textId="6ACB26A0" w:rsidR="002A2AA3" w:rsidRPr="00285F0D" w:rsidRDefault="008A4851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  <w:noProof/>
              </w:rPr>
              <w:t>Determined handwriting analysis did not meet Daubert factors, but it found handwriting analysis to be considered as technical and admissible.</w:t>
            </w:r>
            <w:r w:rsidRPr="00285F0D">
              <w:rPr>
                <w:rFonts w:ascii="Open Sans" w:hAnsi="Open Sans"/>
                <w:noProof/>
              </w:rPr>
              <w:tab/>
            </w:r>
            <w:r w:rsidRPr="00285F0D">
              <w:rPr>
                <w:rFonts w:ascii="Open Sans" w:hAnsi="Open Sans"/>
                <w:noProof/>
              </w:rPr>
              <w:tab/>
            </w:r>
          </w:p>
        </w:tc>
        <w:tc>
          <w:tcPr>
            <w:tcW w:w="2507" w:type="dxa"/>
          </w:tcPr>
          <w:p w14:paraId="2D88CDC1" w14:textId="530D4580" w:rsidR="002A2AA3" w:rsidRPr="00285F0D" w:rsidRDefault="00DF55CE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Did not meet</w:t>
            </w:r>
            <w:r w:rsidR="008A4851" w:rsidRPr="00285F0D">
              <w:rPr>
                <w:rFonts w:ascii="Open Sans" w:hAnsi="Open Sans"/>
              </w:rPr>
              <w:t xml:space="preserve"> </w:t>
            </w:r>
            <w:proofErr w:type="spellStart"/>
            <w:r w:rsidR="008A4851" w:rsidRPr="00285F0D">
              <w:rPr>
                <w:rFonts w:ascii="Open Sans" w:hAnsi="Open Sans"/>
              </w:rPr>
              <w:t>Daubert</w:t>
            </w:r>
            <w:proofErr w:type="spellEnd"/>
            <w:r w:rsidR="008A4851" w:rsidRPr="00285F0D">
              <w:rPr>
                <w:rFonts w:ascii="Open Sans" w:hAnsi="Open Sans"/>
              </w:rPr>
              <w:t xml:space="preserve"> because:</w:t>
            </w:r>
          </w:p>
        </w:tc>
      </w:tr>
      <w:tr w:rsidR="008A4851" w:rsidRPr="00C258DE" w14:paraId="31076414" w14:textId="77777777" w:rsidTr="00285F0D">
        <w:trPr>
          <w:trHeight w:val="1440"/>
          <w:jc w:val="center"/>
        </w:trPr>
        <w:tc>
          <w:tcPr>
            <w:tcW w:w="2157" w:type="dxa"/>
            <w:shd w:val="clear" w:color="auto" w:fill="D0CECE" w:themeFill="background2" w:themeFillShade="E6"/>
          </w:tcPr>
          <w:p w14:paraId="5CEE2460" w14:textId="0F790165" w:rsidR="002A2AA3" w:rsidRPr="00285F0D" w:rsidRDefault="008A4851" w:rsidP="00440252">
            <w:pPr>
              <w:contextualSpacing/>
              <w:rPr>
                <w:rFonts w:ascii="Open Sans" w:hAnsi="Open Sans"/>
              </w:rPr>
            </w:pPr>
            <w:proofErr w:type="spellStart"/>
            <w:r w:rsidRPr="00285F0D">
              <w:rPr>
                <w:rFonts w:ascii="Open Sans" w:hAnsi="Open Sans"/>
                <w:i/>
              </w:rPr>
              <w:t>Kumho</w:t>
            </w:r>
            <w:proofErr w:type="spellEnd"/>
            <w:r w:rsidRPr="00285F0D">
              <w:rPr>
                <w:rFonts w:ascii="Open Sans" w:hAnsi="Open Sans"/>
                <w:i/>
              </w:rPr>
              <w:t xml:space="preserve"> Tire v. Carmichael</w:t>
            </w:r>
          </w:p>
        </w:tc>
        <w:tc>
          <w:tcPr>
            <w:tcW w:w="1351" w:type="dxa"/>
          </w:tcPr>
          <w:p w14:paraId="36F65C41" w14:textId="6EFC5EE0" w:rsidR="002A2AA3" w:rsidRPr="00285F0D" w:rsidRDefault="00440252" w:rsidP="00440252">
            <w:pPr>
              <w:contextualSpacing/>
              <w:jc w:val="center"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  <w:b/>
              </w:rPr>
              <w:t>1999</w:t>
            </w:r>
          </w:p>
        </w:tc>
        <w:tc>
          <w:tcPr>
            <w:tcW w:w="1710" w:type="dxa"/>
          </w:tcPr>
          <w:p w14:paraId="4B8249A5" w14:textId="77777777" w:rsidR="008A4851" w:rsidRPr="00285F0D" w:rsidRDefault="008A4851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526 U.S.</w:t>
            </w:r>
          </w:p>
          <w:p w14:paraId="7BF8E0A5" w14:textId="77777777" w:rsidR="008A4851" w:rsidRPr="00285F0D" w:rsidRDefault="008A4851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137, 119</w:t>
            </w:r>
          </w:p>
          <w:p w14:paraId="42D20A4B" w14:textId="77777777" w:rsidR="008A4851" w:rsidRPr="00285F0D" w:rsidRDefault="008A4851" w:rsidP="00440252">
            <w:pPr>
              <w:contextualSpacing/>
              <w:rPr>
                <w:rFonts w:ascii="Open Sans" w:hAnsi="Open Sans"/>
              </w:rPr>
            </w:pPr>
            <w:proofErr w:type="spellStart"/>
            <w:r w:rsidRPr="00285F0D">
              <w:rPr>
                <w:rFonts w:ascii="Open Sans" w:hAnsi="Open Sans"/>
              </w:rPr>
              <w:t>S.Ct</w:t>
            </w:r>
            <w:proofErr w:type="spellEnd"/>
            <w:r w:rsidRPr="00285F0D">
              <w:rPr>
                <w:rFonts w:ascii="Open Sans" w:hAnsi="Open Sans"/>
              </w:rPr>
              <w:t>. 1167,</w:t>
            </w:r>
          </w:p>
          <w:p w14:paraId="603BEF1B" w14:textId="0EE1B185" w:rsidR="008A4851" w:rsidRPr="00285F0D" w:rsidRDefault="008A4851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143 L. Ed.</w:t>
            </w:r>
          </w:p>
          <w:p w14:paraId="0363FFBB" w14:textId="77777777" w:rsidR="008A4851" w:rsidRPr="00285F0D" w:rsidRDefault="008A4851" w:rsidP="00440252">
            <w:pPr>
              <w:contextualSpacing/>
              <w:rPr>
                <w:rFonts w:ascii="Open Sans" w:hAnsi="Open Sans"/>
              </w:rPr>
            </w:pPr>
            <w:proofErr w:type="spellStart"/>
            <w:r w:rsidRPr="00285F0D">
              <w:rPr>
                <w:rFonts w:ascii="Open Sans" w:hAnsi="Open Sans"/>
              </w:rPr>
              <w:t>2d</w:t>
            </w:r>
            <w:proofErr w:type="spellEnd"/>
            <w:r w:rsidRPr="00285F0D">
              <w:rPr>
                <w:rFonts w:ascii="Open Sans" w:hAnsi="Open Sans"/>
              </w:rPr>
              <w:t xml:space="preserve"> 238 </w:t>
            </w:r>
          </w:p>
          <w:p w14:paraId="243DFA3D" w14:textId="2E565631" w:rsidR="002A2AA3" w:rsidRPr="00285F0D" w:rsidRDefault="008A4851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(1999)</w:t>
            </w:r>
            <w:r w:rsidRPr="00285F0D">
              <w:rPr>
                <w:rFonts w:ascii="Open Sans" w:hAnsi="Open Sans"/>
              </w:rPr>
              <w:tab/>
            </w:r>
          </w:p>
        </w:tc>
        <w:tc>
          <w:tcPr>
            <w:tcW w:w="3060" w:type="dxa"/>
          </w:tcPr>
          <w:p w14:paraId="78B5BAB7" w14:textId="2FFFBA74" w:rsidR="002A2AA3" w:rsidRPr="00285F0D" w:rsidRDefault="00C258DE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  <w:b/>
              </w:rPr>
              <w:t xml:space="preserve">Expanded </w:t>
            </w:r>
            <w:proofErr w:type="spellStart"/>
            <w:r w:rsidRPr="00285F0D">
              <w:rPr>
                <w:rFonts w:ascii="Open Sans" w:hAnsi="Open Sans"/>
                <w:b/>
              </w:rPr>
              <w:t>Daubert</w:t>
            </w:r>
            <w:proofErr w:type="spellEnd"/>
            <w:r w:rsidRPr="00285F0D">
              <w:rPr>
                <w:rFonts w:ascii="Open Sans" w:hAnsi="Open Sans"/>
                <w:b/>
              </w:rPr>
              <w:t xml:space="preserve"> to include all expert testimony.</w:t>
            </w:r>
          </w:p>
        </w:tc>
        <w:tc>
          <w:tcPr>
            <w:tcW w:w="2507" w:type="dxa"/>
          </w:tcPr>
          <w:p w14:paraId="6EC90666" w14:textId="7AF41832" w:rsidR="002A2AA3" w:rsidRPr="00285F0D" w:rsidRDefault="00C258DE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  <w:b/>
              </w:rPr>
              <w:t xml:space="preserve">Expanded </w:t>
            </w:r>
            <w:proofErr w:type="spellStart"/>
            <w:r w:rsidRPr="00285F0D">
              <w:rPr>
                <w:rFonts w:ascii="Open Sans" w:hAnsi="Open Sans"/>
                <w:b/>
              </w:rPr>
              <w:t>Daubert</w:t>
            </w:r>
            <w:proofErr w:type="spellEnd"/>
            <w:r w:rsidRPr="00285F0D">
              <w:rPr>
                <w:rFonts w:ascii="Open Sans" w:hAnsi="Open Sans"/>
                <w:b/>
              </w:rPr>
              <w:t xml:space="preserve"> to include all types of expert witness testimony and not just scientific expert testimony.</w:t>
            </w:r>
          </w:p>
        </w:tc>
      </w:tr>
      <w:tr w:rsidR="008A4851" w:rsidRPr="00C258DE" w14:paraId="4763690E" w14:textId="77777777" w:rsidTr="00285F0D">
        <w:trPr>
          <w:trHeight w:val="1440"/>
          <w:jc w:val="center"/>
        </w:trPr>
        <w:tc>
          <w:tcPr>
            <w:tcW w:w="2157" w:type="dxa"/>
            <w:shd w:val="clear" w:color="auto" w:fill="D0CECE" w:themeFill="background2" w:themeFillShade="E6"/>
          </w:tcPr>
          <w:p w14:paraId="039711D6" w14:textId="33D9B536" w:rsidR="002A2AA3" w:rsidRPr="00285F0D" w:rsidRDefault="00BF57B1" w:rsidP="00440252">
            <w:pPr>
              <w:contextualSpacing/>
              <w:rPr>
                <w:rFonts w:ascii="Open Sans" w:hAnsi="Open Sans"/>
                <w:i/>
              </w:rPr>
            </w:pPr>
            <w:r w:rsidRPr="00285F0D">
              <w:rPr>
                <w:rFonts w:ascii="Open Sans" w:hAnsi="Open Sans"/>
                <w:i/>
                <w:noProof/>
              </w:rPr>
              <w:t>United States v. Prime</w:t>
            </w:r>
          </w:p>
        </w:tc>
        <w:tc>
          <w:tcPr>
            <w:tcW w:w="1351" w:type="dxa"/>
          </w:tcPr>
          <w:p w14:paraId="5593E58E" w14:textId="49351880" w:rsidR="002A2AA3" w:rsidRPr="00285F0D" w:rsidRDefault="00612388" w:rsidP="00440252">
            <w:pPr>
              <w:contextualSpacing/>
              <w:jc w:val="center"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2002</w:t>
            </w:r>
          </w:p>
        </w:tc>
        <w:tc>
          <w:tcPr>
            <w:tcW w:w="1710" w:type="dxa"/>
          </w:tcPr>
          <w:p w14:paraId="6B89C726" w14:textId="77777777" w:rsidR="00285F0D" w:rsidRPr="00285F0D" w:rsidRDefault="00285F0D" w:rsidP="00440252">
            <w:pPr>
              <w:contextualSpacing/>
              <w:rPr>
                <w:rFonts w:ascii="Open Sans" w:hAnsi="Open Sans"/>
                <w:b/>
              </w:rPr>
            </w:pPr>
            <w:r w:rsidRPr="00285F0D">
              <w:rPr>
                <w:rFonts w:ascii="Open Sans" w:hAnsi="Open Sans"/>
                <w:b/>
              </w:rPr>
              <w:t>220 F.</w:t>
            </w:r>
          </w:p>
          <w:p w14:paraId="56E34CE7" w14:textId="77777777" w:rsidR="00285F0D" w:rsidRPr="00285F0D" w:rsidRDefault="00285F0D" w:rsidP="00440252">
            <w:pPr>
              <w:contextualSpacing/>
              <w:rPr>
                <w:rFonts w:ascii="Open Sans" w:hAnsi="Open Sans"/>
                <w:b/>
              </w:rPr>
            </w:pPr>
            <w:proofErr w:type="spellStart"/>
            <w:r w:rsidRPr="00285F0D">
              <w:rPr>
                <w:rFonts w:ascii="Open Sans" w:hAnsi="Open Sans"/>
                <w:b/>
              </w:rPr>
              <w:t>Supp.2d</w:t>
            </w:r>
            <w:proofErr w:type="spellEnd"/>
          </w:p>
          <w:p w14:paraId="25DA55E0" w14:textId="468FFE03" w:rsidR="002A2AA3" w:rsidRPr="00285F0D" w:rsidRDefault="00285F0D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  <w:b/>
              </w:rPr>
              <w:t>1203 (</w:t>
            </w:r>
            <w:proofErr w:type="spellStart"/>
            <w:r w:rsidRPr="00285F0D">
              <w:rPr>
                <w:rFonts w:ascii="Open Sans" w:hAnsi="Open Sans"/>
                <w:b/>
              </w:rPr>
              <w:t>W.D</w:t>
            </w:r>
            <w:proofErr w:type="spellEnd"/>
            <w:r w:rsidRPr="00285F0D">
              <w:rPr>
                <w:rFonts w:ascii="Open Sans" w:hAnsi="Open Sans"/>
                <w:b/>
              </w:rPr>
              <w:t>. Wash. 2002)</w:t>
            </w:r>
          </w:p>
        </w:tc>
        <w:tc>
          <w:tcPr>
            <w:tcW w:w="3060" w:type="dxa"/>
          </w:tcPr>
          <w:p w14:paraId="441D2B52" w14:textId="44F08C19" w:rsidR="002A2AA3" w:rsidRPr="00285F0D" w:rsidRDefault="00285F0D" w:rsidP="00440252">
            <w:pPr>
              <w:contextualSpacing/>
              <w:rPr>
                <w:rFonts w:ascii="Open Sans" w:hAnsi="Open Sans"/>
                <w:b/>
              </w:rPr>
            </w:pPr>
            <w:r w:rsidRPr="00285F0D">
              <w:rPr>
                <w:rFonts w:ascii="Open Sans" w:hAnsi="Open Sans"/>
                <w:b/>
              </w:rPr>
              <w:t xml:space="preserve">Court upheld that handwriting analysis now met </w:t>
            </w:r>
            <w:proofErr w:type="spellStart"/>
            <w:r w:rsidRPr="00285F0D">
              <w:rPr>
                <w:rFonts w:ascii="Open Sans" w:hAnsi="Open Sans"/>
                <w:b/>
              </w:rPr>
              <w:t>Daubert</w:t>
            </w:r>
            <w:proofErr w:type="spellEnd"/>
            <w:r w:rsidRPr="00285F0D">
              <w:rPr>
                <w:rFonts w:ascii="Open Sans" w:hAnsi="Open Sans"/>
                <w:b/>
              </w:rPr>
              <w:t xml:space="preserve"> factors in admittance of reliable evidence.</w:t>
            </w:r>
          </w:p>
        </w:tc>
        <w:tc>
          <w:tcPr>
            <w:tcW w:w="2507" w:type="dxa"/>
          </w:tcPr>
          <w:p w14:paraId="2E13C46E" w14:textId="575A1382" w:rsidR="002A2AA3" w:rsidRPr="00285F0D" w:rsidRDefault="00BF57B1" w:rsidP="00440252">
            <w:pPr>
              <w:contextualSpacing/>
              <w:rPr>
                <w:rFonts w:ascii="Open Sans" w:hAnsi="Open Sans"/>
              </w:rPr>
            </w:pPr>
            <w:r w:rsidRPr="00285F0D">
              <w:rPr>
                <w:rFonts w:ascii="Open Sans" w:hAnsi="Open Sans"/>
              </w:rPr>
              <w:t>Handwriting experts recognized by Scotland Yard and the FBI. Forensics courses with handwriting analysis offered by 15 universities.</w:t>
            </w:r>
          </w:p>
        </w:tc>
      </w:tr>
    </w:tbl>
    <w:p w14:paraId="403E7DE0" w14:textId="690A2DE8" w:rsidR="002A2AA3" w:rsidRPr="00C258DE" w:rsidRDefault="002A2AA3" w:rsidP="00440252">
      <w:pPr>
        <w:tabs>
          <w:tab w:val="left" w:pos="800"/>
        </w:tabs>
        <w:spacing w:after="0" w:line="240" w:lineRule="auto"/>
        <w:contextualSpacing/>
        <w:rPr>
          <w:rFonts w:ascii="Open Sans" w:hAnsi="Open Sans"/>
          <w:noProof/>
        </w:rPr>
      </w:pPr>
    </w:p>
    <w:sectPr w:rsidR="002A2AA3" w:rsidRPr="00C258D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8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68A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7B68AD" w:rsidP="00E7721B">
            <w:pPr>
              <w:pStyle w:val="Footer"/>
              <w:jc w:val="center"/>
            </w:pPr>
          </w:p>
        </w:sdtContent>
      </w:sdt>
    </w:sdtContent>
  </w:sdt>
  <w:p w14:paraId="3F397A0D" w14:textId="22B2471C" w:rsidR="005C68F0" w:rsidRDefault="00E7721B" w:rsidP="000A1E8F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A1E8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A1E8F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2C95FEE6" w14:textId="77777777" w:rsidR="005C68F0" w:rsidRDefault="005C68F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902"/>
    <w:multiLevelType w:val="hybridMultilevel"/>
    <w:tmpl w:val="6B88C3EC"/>
    <w:lvl w:ilvl="0" w:tplc="E10E8DE6">
      <w:start w:val="1"/>
      <w:numFmt w:val="decimal"/>
      <w:lvlText w:val="%1."/>
      <w:lvlJc w:val="left"/>
    </w:lvl>
    <w:lvl w:ilvl="1" w:tplc="1B1E8C3E">
      <w:numFmt w:val="decimal"/>
      <w:lvlText w:val=""/>
      <w:lvlJc w:val="left"/>
    </w:lvl>
    <w:lvl w:ilvl="2" w:tplc="9F46DB4A">
      <w:numFmt w:val="decimal"/>
      <w:lvlText w:val=""/>
      <w:lvlJc w:val="left"/>
    </w:lvl>
    <w:lvl w:ilvl="3" w:tplc="32B0DCDE">
      <w:numFmt w:val="decimal"/>
      <w:lvlText w:val=""/>
      <w:lvlJc w:val="left"/>
    </w:lvl>
    <w:lvl w:ilvl="4" w:tplc="A9627FBA">
      <w:numFmt w:val="decimal"/>
      <w:lvlText w:val=""/>
      <w:lvlJc w:val="left"/>
    </w:lvl>
    <w:lvl w:ilvl="5" w:tplc="6172F140">
      <w:numFmt w:val="decimal"/>
      <w:lvlText w:val=""/>
      <w:lvlJc w:val="left"/>
    </w:lvl>
    <w:lvl w:ilvl="6" w:tplc="ED0A37D2">
      <w:numFmt w:val="decimal"/>
      <w:lvlText w:val=""/>
      <w:lvlJc w:val="left"/>
    </w:lvl>
    <w:lvl w:ilvl="7" w:tplc="C32618B6">
      <w:numFmt w:val="decimal"/>
      <w:lvlText w:val=""/>
      <w:lvlJc w:val="left"/>
    </w:lvl>
    <w:lvl w:ilvl="8" w:tplc="7FDCAE9E">
      <w:numFmt w:val="decimal"/>
      <w:lvlText w:val=""/>
      <w:lvlJc w:val="left"/>
    </w:lvl>
  </w:abstractNum>
  <w:abstractNum w:abstractNumId="1">
    <w:nsid w:val="00004230"/>
    <w:multiLevelType w:val="hybridMultilevel"/>
    <w:tmpl w:val="42D8C100"/>
    <w:lvl w:ilvl="0" w:tplc="BE8E01F2">
      <w:start w:val="1"/>
      <w:numFmt w:val="decimal"/>
      <w:lvlText w:val="%1."/>
      <w:lvlJc w:val="left"/>
    </w:lvl>
    <w:lvl w:ilvl="1" w:tplc="15001CC6">
      <w:numFmt w:val="decimal"/>
      <w:lvlText w:val=""/>
      <w:lvlJc w:val="left"/>
    </w:lvl>
    <w:lvl w:ilvl="2" w:tplc="1786BA56">
      <w:numFmt w:val="decimal"/>
      <w:lvlText w:val=""/>
      <w:lvlJc w:val="left"/>
    </w:lvl>
    <w:lvl w:ilvl="3" w:tplc="0B841D24">
      <w:numFmt w:val="decimal"/>
      <w:lvlText w:val=""/>
      <w:lvlJc w:val="left"/>
    </w:lvl>
    <w:lvl w:ilvl="4" w:tplc="3D32F162">
      <w:numFmt w:val="decimal"/>
      <w:lvlText w:val=""/>
      <w:lvlJc w:val="left"/>
    </w:lvl>
    <w:lvl w:ilvl="5" w:tplc="E78EC288">
      <w:numFmt w:val="decimal"/>
      <w:lvlText w:val=""/>
      <w:lvlJc w:val="left"/>
    </w:lvl>
    <w:lvl w:ilvl="6" w:tplc="8E8E6860">
      <w:numFmt w:val="decimal"/>
      <w:lvlText w:val=""/>
      <w:lvlJc w:val="left"/>
    </w:lvl>
    <w:lvl w:ilvl="7" w:tplc="BB3EC93A">
      <w:numFmt w:val="decimal"/>
      <w:lvlText w:val=""/>
      <w:lvlJc w:val="left"/>
    </w:lvl>
    <w:lvl w:ilvl="8" w:tplc="34D8AB68">
      <w:numFmt w:val="decimal"/>
      <w:lvlText w:val=""/>
      <w:lvlJc w:val="left"/>
    </w:lvl>
  </w:abstractNum>
  <w:abstractNum w:abstractNumId="2">
    <w:nsid w:val="00005772"/>
    <w:multiLevelType w:val="hybridMultilevel"/>
    <w:tmpl w:val="9210E0FA"/>
    <w:lvl w:ilvl="0" w:tplc="5358B3BC">
      <w:start w:val="1"/>
      <w:numFmt w:val="decimal"/>
      <w:lvlText w:val="%1"/>
      <w:lvlJc w:val="left"/>
    </w:lvl>
    <w:lvl w:ilvl="1" w:tplc="C90C54F8">
      <w:start w:val="2"/>
      <w:numFmt w:val="lowerLetter"/>
      <w:lvlText w:val="%2."/>
      <w:lvlJc w:val="left"/>
    </w:lvl>
    <w:lvl w:ilvl="2" w:tplc="14CE65F6">
      <w:numFmt w:val="decimal"/>
      <w:lvlText w:val=""/>
      <w:lvlJc w:val="left"/>
    </w:lvl>
    <w:lvl w:ilvl="3" w:tplc="152C9A4A">
      <w:numFmt w:val="decimal"/>
      <w:lvlText w:val=""/>
      <w:lvlJc w:val="left"/>
    </w:lvl>
    <w:lvl w:ilvl="4" w:tplc="7750D514">
      <w:numFmt w:val="decimal"/>
      <w:lvlText w:val=""/>
      <w:lvlJc w:val="left"/>
    </w:lvl>
    <w:lvl w:ilvl="5" w:tplc="F5FC6802">
      <w:numFmt w:val="decimal"/>
      <w:lvlText w:val=""/>
      <w:lvlJc w:val="left"/>
    </w:lvl>
    <w:lvl w:ilvl="6" w:tplc="89D0709A">
      <w:numFmt w:val="decimal"/>
      <w:lvlText w:val=""/>
      <w:lvlJc w:val="left"/>
    </w:lvl>
    <w:lvl w:ilvl="7" w:tplc="31B0A958">
      <w:numFmt w:val="decimal"/>
      <w:lvlText w:val=""/>
      <w:lvlJc w:val="left"/>
    </w:lvl>
    <w:lvl w:ilvl="8" w:tplc="17383248">
      <w:numFmt w:val="decimal"/>
      <w:lvlText w:val=""/>
      <w:lvlJc w:val="left"/>
    </w:lvl>
  </w:abstractNum>
  <w:abstractNum w:abstractNumId="3">
    <w:nsid w:val="00007BB9"/>
    <w:multiLevelType w:val="hybridMultilevel"/>
    <w:tmpl w:val="735023DC"/>
    <w:lvl w:ilvl="0" w:tplc="3BEA0E0A">
      <w:start w:val="1"/>
      <w:numFmt w:val="decimal"/>
      <w:lvlText w:val="%1."/>
      <w:lvlJc w:val="left"/>
    </w:lvl>
    <w:lvl w:ilvl="1" w:tplc="E7B83C92">
      <w:start w:val="1"/>
      <w:numFmt w:val="lowerLetter"/>
      <w:lvlText w:val="%2."/>
      <w:lvlJc w:val="left"/>
    </w:lvl>
    <w:lvl w:ilvl="2" w:tplc="31B65D88">
      <w:numFmt w:val="decimal"/>
      <w:lvlText w:val=""/>
      <w:lvlJc w:val="left"/>
    </w:lvl>
    <w:lvl w:ilvl="3" w:tplc="C5D86858">
      <w:numFmt w:val="decimal"/>
      <w:lvlText w:val=""/>
      <w:lvlJc w:val="left"/>
    </w:lvl>
    <w:lvl w:ilvl="4" w:tplc="528C27DC">
      <w:numFmt w:val="decimal"/>
      <w:lvlText w:val=""/>
      <w:lvlJc w:val="left"/>
    </w:lvl>
    <w:lvl w:ilvl="5" w:tplc="A06A9F28">
      <w:numFmt w:val="decimal"/>
      <w:lvlText w:val=""/>
      <w:lvlJc w:val="left"/>
    </w:lvl>
    <w:lvl w:ilvl="6" w:tplc="3D80DA6E">
      <w:numFmt w:val="decimal"/>
      <w:lvlText w:val=""/>
      <w:lvlJc w:val="left"/>
    </w:lvl>
    <w:lvl w:ilvl="7" w:tplc="6ECACBF0">
      <w:numFmt w:val="decimal"/>
      <w:lvlText w:val=""/>
      <w:lvlJc w:val="left"/>
    </w:lvl>
    <w:lvl w:ilvl="8" w:tplc="5248F034">
      <w:numFmt w:val="decimal"/>
      <w:lvlText w:val=""/>
      <w:lvlJc w:val="left"/>
    </w:lvl>
  </w:abstractNum>
  <w:abstractNum w:abstractNumId="4">
    <w:nsid w:val="0189107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5F54D1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6B377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1823F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02272A"/>
    <w:multiLevelType w:val="multilevel"/>
    <w:tmpl w:val="C2D035FC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>
    <w:nsid w:val="29A7319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4A3EE9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E27AA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630513"/>
    <w:multiLevelType w:val="hybridMultilevel"/>
    <w:tmpl w:val="D4DA2A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04515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E550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6D7FC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A8560D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F70077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F16D14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B85BCA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5F1430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B53703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EF7972"/>
    <w:multiLevelType w:val="hybridMultilevel"/>
    <w:tmpl w:val="4210E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7"/>
  </w:num>
  <w:num w:numId="5">
    <w:abstractNumId w:val="14"/>
  </w:num>
  <w:num w:numId="6">
    <w:abstractNumId w:val="4"/>
  </w:num>
  <w:num w:numId="7">
    <w:abstractNumId w:val="18"/>
  </w:num>
  <w:num w:numId="8">
    <w:abstractNumId w:val="5"/>
  </w:num>
  <w:num w:numId="9">
    <w:abstractNumId w:val="19"/>
  </w:num>
  <w:num w:numId="10">
    <w:abstractNumId w:val="22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10"/>
  </w:num>
  <w:num w:numId="18">
    <w:abstractNumId w:val="16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7BCD"/>
    <w:rsid w:val="00055916"/>
    <w:rsid w:val="00055EE1"/>
    <w:rsid w:val="00086C2A"/>
    <w:rsid w:val="000A1E8F"/>
    <w:rsid w:val="00144BB4"/>
    <w:rsid w:val="001E7AA7"/>
    <w:rsid w:val="00204CD4"/>
    <w:rsid w:val="00285F0D"/>
    <w:rsid w:val="002A2AA3"/>
    <w:rsid w:val="002F7801"/>
    <w:rsid w:val="003B4392"/>
    <w:rsid w:val="003C3E68"/>
    <w:rsid w:val="003D49FF"/>
    <w:rsid w:val="00440252"/>
    <w:rsid w:val="00465A98"/>
    <w:rsid w:val="004C7226"/>
    <w:rsid w:val="005052E4"/>
    <w:rsid w:val="00524DD0"/>
    <w:rsid w:val="005C68F0"/>
    <w:rsid w:val="005E696E"/>
    <w:rsid w:val="00612388"/>
    <w:rsid w:val="006143D4"/>
    <w:rsid w:val="00676A46"/>
    <w:rsid w:val="006A1E92"/>
    <w:rsid w:val="00703108"/>
    <w:rsid w:val="007218E1"/>
    <w:rsid w:val="0073633F"/>
    <w:rsid w:val="007A1993"/>
    <w:rsid w:val="007B68AD"/>
    <w:rsid w:val="007F4150"/>
    <w:rsid w:val="0084406A"/>
    <w:rsid w:val="00846CF2"/>
    <w:rsid w:val="008475FF"/>
    <w:rsid w:val="008A4851"/>
    <w:rsid w:val="008A4D3D"/>
    <w:rsid w:val="008C29A4"/>
    <w:rsid w:val="00903BDB"/>
    <w:rsid w:val="00912BE6"/>
    <w:rsid w:val="0095365F"/>
    <w:rsid w:val="009606FD"/>
    <w:rsid w:val="009E0B38"/>
    <w:rsid w:val="009F7E4A"/>
    <w:rsid w:val="00AA02D5"/>
    <w:rsid w:val="00AD2CEF"/>
    <w:rsid w:val="00AF51DD"/>
    <w:rsid w:val="00B0214B"/>
    <w:rsid w:val="00B42BBA"/>
    <w:rsid w:val="00B643B3"/>
    <w:rsid w:val="00B96799"/>
    <w:rsid w:val="00BE44AD"/>
    <w:rsid w:val="00BF57B1"/>
    <w:rsid w:val="00C1126E"/>
    <w:rsid w:val="00C16070"/>
    <w:rsid w:val="00C258DE"/>
    <w:rsid w:val="00C80364"/>
    <w:rsid w:val="00D35E20"/>
    <w:rsid w:val="00DB4E85"/>
    <w:rsid w:val="00DE3A22"/>
    <w:rsid w:val="00DF55CE"/>
    <w:rsid w:val="00E7721B"/>
    <w:rsid w:val="00E81361"/>
    <w:rsid w:val="00E935D4"/>
    <w:rsid w:val="00EA412D"/>
    <w:rsid w:val="00ED1021"/>
    <w:rsid w:val="00F122EB"/>
    <w:rsid w:val="00F37B39"/>
    <w:rsid w:val="00F45E83"/>
    <w:rsid w:val="00F51DB7"/>
    <w:rsid w:val="00F83422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openxmlformats.org/package/2006/metadata/core-properties"/>
    <ds:schemaRef ds:uri="http://purl.org/dc/dcmitype/"/>
    <ds:schemaRef ds:uri="56ea17bb-c96d-4826-b465-01eec0dd23dd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05d88611-e516-4d1a-b12e-39107e78b3d0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2017-09-08T17:33:00Z</dcterms:created>
  <dcterms:modified xsi:type="dcterms:W3CDTF">2017-09-12T13:51:00Z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