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400C65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F203CF" w:rsidRDefault="004C5B37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F203C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F203C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F203CF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00C65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400C65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80FDD13" w:rsidR="00B3350C" w:rsidRPr="00F203CF" w:rsidRDefault="00EC661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Agriculture, Food</w:t>
            </w:r>
            <w:r w:rsidR="00F203CF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 and Natural Resources</w:t>
            </w:r>
          </w:p>
        </w:tc>
      </w:tr>
      <w:tr w:rsidR="00B3350C" w:rsidRPr="00400C65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BD8513E" w:rsidR="00B3350C" w:rsidRPr="00F203CF" w:rsidRDefault="00E361D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Mathematical Applications in Agriculture, Food, and Natural Resources</w:t>
            </w:r>
          </w:p>
        </w:tc>
      </w:tr>
      <w:tr w:rsidR="00B3350C" w:rsidRPr="00400C65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F203CF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0EF4696" w:rsidR="00B3350C" w:rsidRPr="00F203CF" w:rsidRDefault="003F17C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Pounds and Pounds of Pecans – Estimating Production</w:t>
            </w:r>
          </w:p>
        </w:tc>
      </w:tr>
      <w:tr w:rsidR="00B3350C" w:rsidRPr="00400C65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TEKS Student </w:t>
            </w:r>
            <w:bookmarkStart w:id="1" w:name="_GoBack"/>
            <w:bookmarkEnd w:id="1"/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Expectations</w:t>
            </w:r>
          </w:p>
        </w:tc>
        <w:tc>
          <w:tcPr>
            <w:tcW w:w="7848" w:type="dxa"/>
            <w:shd w:val="clear" w:color="auto" w:fill="auto"/>
          </w:tcPr>
          <w:p w14:paraId="5C9E87C2" w14:textId="07CFE00E" w:rsidR="00F203CF" w:rsidRDefault="00F203CF" w:rsidP="000530D0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sz w:val="22"/>
                <w:szCs w:val="22"/>
              </w:rPr>
              <w:t>130.5. (c)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4CD33747" w14:textId="77777777" w:rsidR="00F203CF" w:rsidRDefault="00F203CF" w:rsidP="000530D0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093C7981" w14:textId="75DF2BD0" w:rsidR="00F203CF" w:rsidRPr="00F203CF" w:rsidRDefault="00F203CF" w:rsidP="00F203C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(4)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>The student performs mathematical calculations used in agriculture, food, and natural resources. The student is expected to:</w:t>
            </w:r>
          </w:p>
          <w:p w14:paraId="55B85B9F" w14:textId="78718C2C" w:rsidR="00340C51" w:rsidRPr="00F203CF" w:rsidRDefault="00F203CF" w:rsidP="00F203CF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(A) add, subtract, multiply, and divide whole numbers, fractions, and decimals in calculations related to agricultu</w:t>
            </w:r>
            <w:r>
              <w:rPr>
                <w:rFonts w:ascii="Open Sans" w:hAnsi="Open Sans" w:cs="Open Sans"/>
                <w:sz w:val="22"/>
                <w:szCs w:val="22"/>
              </w:rPr>
              <w:t>re, food, and natural resources</w:t>
            </w:r>
          </w:p>
          <w:p w14:paraId="2FEB4080" w14:textId="5C60E2D6" w:rsidR="00F203CF" w:rsidRPr="00F203CF" w:rsidRDefault="00F203CF" w:rsidP="00F203CF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(C)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>find solutions to problems related to agriculture, food, and natural resources by calcu</w:t>
            </w:r>
            <w:r>
              <w:rPr>
                <w:rFonts w:ascii="Open Sans" w:hAnsi="Open Sans" w:cs="Open Sans"/>
                <w:sz w:val="22"/>
                <w:szCs w:val="22"/>
              </w:rPr>
              <w:t>lating percentages and averages</w:t>
            </w:r>
          </w:p>
          <w:p w14:paraId="60F3A556" w14:textId="0D9037AA" w:rsidR="00F203CF" w:rsidRPr="00F203CF" w:rsidRDefault="00F203CF" w:rsidP="000530D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1BACCB75" w14:textId="7996098D" w:rsidR="00F203CF" w:rsidRDefault="00F203CF" w:rsidP="00F203CF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(7) 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>The student demonstrates mathematical knowledge and skills required to solve problems related to animal systems and related career opportunities. The student is expected to:</w:t>
            </w:r>
          </w:p>
          <w:p w14:paraId="4583E660" w14:textId="5C2E3285" w:rsidR="00F203CF" w:rsidRPr="00F203CF" w:rsidRDefault="00F203CF" w:rsidP="00DB746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>demonstrate knowledge of algebraic applications related to animal system calculations such as ration formulation using the Pearson Square, percent homozygosity, heritability, USDA grades, gene frequency, cost per unit of nut</w:t>
            </w:r>
            <w:r>
              <w:rPr>
                <w:rFonts w:ascii="Open Sans" w:hAnsi="Open Sans" w:cs="Open Sans"/>
                <w:sz w:val="22"/>
                <w:szCs w:val="22"/>
              </w:rPr>
              <w:t>rient, and weaning weight ratio</w:t>
            </w:r>
          </w:p>
        </w:tc>
      </w:tr>
      <w:tr w:rsidR="00B3350C" w:rsidRPr="00400C65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F203CF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F203CF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400C65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45DFB02" w14:textId="77777777" w:rsidR="004D107A" w:rsidRPr="00F203CF" w:rsidRDefault="004D107A" w:rsidP="004D107A">
            <w:pPr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The students will be able to:</w:t>
            </w:r>
          </w:p>
          <w:p w14:paraId="5F739458" w14:textId="2BEE7711" w:rsidR="007812DF" w:rsidRPr="00F203CF" w:rsidRDefault="007812DF" w:rsidP="007812D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Connect equation notation with function notation</w:t>
            </w:r>
          </w:p>
          <w:p w14:paraId="700EEC4D" w14:textId="2BCED89C" w:rsidR="007812DF" w:rsidRPr="00F203CF" w:rsidRDefault="007812DF" w:rsidP="007812D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Solve a quadratic equation</w:t>
            </w:r>
          </w:p>
          <w:p w14:paraId="60AC3715" w14:textId="04F676C5" w:rsidR="00B3350C" w:rsidRPr="00F203CF" w:rsidRDefault="007812DF" w:rsidP="007812DF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Evaluate a function at a specified point in its domain</w:t>
            </w:r>
          </w:p>
        </w:tc>
      </w:tr>
      <w:tr w:rsidR="00B3350C" w:rsidRPr="00400C65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2C06E047" w14:textId="77777777" w:rsidR="00767E2B" w:rsidRPr="00F203CF" w:rsidRDefault="00AC4200" w:rsidP="00767E2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P</w:t>
            </w:r>
            <w:r w:rsidR="00FB5951" w:rsidRPr="00F203CF">
              <w:rPr>
                <w:rFonts w:ascii="Open Sans" w:hAnsi="Open Sans" w:cs="Open Sans"/>
                <w:sz w:val="22"/>
                <w:szCs w:val="22"/>
              </w:rPr>
              <w:t xml:space="preserve">rovide </w:t>
            </w:r>
            <w:r w:rsidR="000A6A2B" w:rsidRPr="00F203CF">
              <w:rPr>
                <w:rFonts w:ascii="Open Sans" w:hAnsi="Open Sans" w:cs="Open Sans"/>
                <w:sz w:val="22"/>
                <w:szCs w:val="22"/>
              </w:rPr>
              <w:t>careers in agricultur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e, food, and natural resources. </w:t>
            </w:r>
          </w:p>
          <w:p w14:paraId="0AEAFDF2" w14:textId="1B5403CE" w:rsidR="00B3350C" w:rsidRPr="00F203CF" w:rsidRDefault="004F3E6F" w:rsidP="00767E2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Also, </w:t>
            </w:r>
            <w:r w:rsidR="00AC4200" w:rsidRPr="00F203CF">
              <w:rPr>
                <w:rFonts w:ascii="Open Sans" w:hAnsi="Open Sans" w:cs="Open Sans"/>
                <w:sz w:val="22"/>
                <w:szCs w:val="22"/>
              </w:rPr>
              <w:t>encourage</w:t>
            </w:r>
            <w:r w:rsidR="00E37D7E" w:rsidRPr="00F203CF">
              <w:rPr>
                <w:rFonts w:ascii="Open Sans" w:hAnsi="Open Sans" w:cs="Open Sans"/>
                <w:sz w:val="22"/>
                <w:szCs w:val="22"/>
              </w:rPr>
              <w:t>s</w:t>
            </w:r>
            <w:r w:rsidR="00AC4200" w:rsidRPr="00F203C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="00AC4200" w:rsidRPr="00F203CF">
              <w:rPr>
                <w:rFonts w:ascii="Open Sans" w:hAnsi="Open Sans" w:cs="Open Sans"/>
                <w:sz w:val="22"/>
                <w:szCs w:val="22"/>
              </w:rPr>
              <w:t xml:space="preserve">students to </w:t>
            </w:r>
            <w:r w:rsidR="00767E2B" w:rsidRPr="00F203CF">
              <w:rPr>
                <w:rFonts w:ascii="Open Sans" w:eastAsia="Calibri" w:hAnsi="Open Sans" w:cs="Open Sans"/>
                <w:sz w:val="22"/>
                <w:szCs w:val="22"/>
              </w:rPr>
              <w:t>apply mathematics to problems arising in everyday life, society, and the workplace.</w:t>
            </w:r>
          </w:p>
        </w:tc>
      </w:tr>
      <w:tr w:rsidR="00B3350C" w:rsidRPr="00400C65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AA38E24" w:rsidR="00B3350C" w:rsidRPr="00F203CF" w:rsidRDefault="00E03B9D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Teacher</w:t>
            </w:r>
            <w:r w:rsidR="00415CE4" w:rsidRPr="00F203CF">
              <w:rPr>
                <w:rFonts w:ascii="Open Sans" w:hAnsi="Open Sans" w:cs="Open Sans"/>
                <w:sz w:val="22"/>
                <w:szCs w:val="22"/>
              </w:rPr>
              <w:t>’s Discretion</w:t>
            </w:r>
          </w:p>
        </w:tc>
      </w:tr>
      <w:tr w:rsidR="00B3350C" w:rsidRPr="00400C65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DAC6CC8" w14:textId="77777777" w:rsidR="00B3350C" w:rsidRPr="00F203CF" w:rsidRDefault="00E10003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</w:t>
            </w:r>
            <w:r w:rsidR="0A993E8D"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6B018D32" w14:textId="77777777" w:rsidR="00DB746E" w:rsidRPr="00DB746E" w:rsidRDefault="00DB746E" w:rsidP="00DB746E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B746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  <w:p w14:paraId="156E697A" w14:textId="0AB55EC6" w:rsidR="00833DE5" w:rsidRPr="00F203CF" w:rsidRDefault="00833DE5" w:rsidP="004D107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70227B5E" w14:textId="261D8F0D" w:rsidR="007812DF" w:rsidRPr="00F203CF" w:rsidRDefault="007812DF" w:rsidP="007812DF">
            <w:pPr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Quadratic equation</w:t>
            </w:r>
          </w:p>
          <w:p w14:paraId="67B74874" w14:textId="77777777" w:rsidR="007812DF" w:rsidRPr="00F203CF" w:rsidRDefault="007812DF" w:rsidP="007812D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D13121" w14:textId="6A9063DA" w:rsidR="00B3350C" w:rsidRPr="00F203CF" w:rsidRDefault="007812DF" w:rsidP="00E37D7E">
            <w:pPr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Function notation f(x)</w:t>
            </w:r>
          </w:p>
        </w:tc>
      </w:tr>
      <w:tr w:rsidR="00B3350C" w:rsidRPr="00400C65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44D0E484" w14:textId="4A08FD49" w:rsidR="00A07611" w:rsidRPr="00F203CF" w:rsidRDefault="00A07611" w:rsidP="00A07611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sz w:val="22"/>
                <w:szCs w:val="22"/>
              </w:rPr>
              <w:t>Materials:</w:t>
            </w:r>
          </w:p>
          <w:p w14:paraId="1A5B056E" w14:textId="7923CCBE" w:rsidR="00B3350C" w:rsidRPr="00F203CF" w:rsidRDefault="007812DF" w:rsidP="002C3BE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Graphing </w:t>
            </w:r>
            <w:r w:rsidR="002C3BEC" w:rsidRPr="00F203CF">
              <w:rPr>
                <w:rFonts w:ascii="Open Sans" w:hAnsi="Open Sans" w:cs="Open Sans"/>
                <w:sz w:val="22"/>
                <w:szCs w:val="22"/>
              </w:rPr>
              <w:t>C</w:t>
            </w:r>
            <w:r w:rsidR="004F3E6F" w:rsidRPr="00F203CF">
              <w:rPr>
                <w:rFonts w:ascii="Open Sans" w:hAnsi="Open Sans" w:cs="Open Sans"/>
                <w:sz w:val="22"/>
                <w:szCs w:val="22"/>
              </w:rPr>
              <w:t>alculator</w:t>
            </w:r>
          </w:p>
          <w:p w14:paraId="06028BCB" w14:textId="3FF09A07" w:rsidR="002C3BEC" w:rsidRPr="00F203CF" w:rsidRDefault="007812DF" w:rsidP="002C3BE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Teacher Key</w:t>
            </w:r>
            <w:r w:rsidR="002C3BEC" w:rsidRPr="00F203CF">
              <w:rPr>
                <w:rFonts w:ascii="Open Sans" w:hAnsi="Open Sans" w:cs="Open Sans"/>
                <w:sz w:val="22"/>
                <w:szCs w:val="22"/>
              </w:rPr>
              <w:t xml:space="preserve"> – Work Sheet (Attached)</w:t>
            </w:r>
          </w:p>
        </w:tc>
      </w:tr>
      <w:tr w:rsidR="00B3350C" w:rsidRPr="00400C65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5AA2FE7A" w:rsidR="00870A95" w:rsidRPr="00F203CF" w:rsidRDefault="00833DE5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13242C0A" w:rsidR="00B3350C" w:rsidRPr="00F203CF" w:rsidRDefault="007812DF" w:rsidP="00DC4B23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How many pounds of pecans can an acre of trees produce?</w:t>
            </w:r>
          </w:p>
        </w:tc>
      </w:tr>
      <w:tr w:rsidR="00B3350C" w:rsidRPr="00400C65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A7A0430" w14:textId="078CBB2D" w:rsidR="00400C65" w:rsidRPr="00F203CF" w:rsidRDefault="00785AF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Present</w:t>
            </w:r>
            <w:r w:rsidR="00400C65" w:rsidRPr="00F203CF">
              <w:rPr>
                <w:rFonts w:ascii="Open Sans" w:hAnsi="Open Sans" w:cs="Open Sans"/>
                <w:sz w:val="22"/>
                <w:szCs w:val="22"/>
              </w:rPr>
              <w:t xml:space="preserve"> the problem</w:t>
            </w:r>
          </w:p>
          <w:p w14:paraId="15FF7C5B" w14:textId="77777777" w:rsidR="00400C65" w:rsidRPr="00F203CF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What is the question?</w:t>
            </w:r>
          </w:p>
          <w:p w14:paraId="05527D83" w14:textId="72A13F86" w:rsidR="00400C65" w:rsidRPr="00F203CF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What do you know</w:t>
            </w:r>
          </w:p>
          <w:p w14:paraId="48A5C4E2" w14:textId="77777777" w:rsidR="00400C65" w:rsidRPr="00F203CF" w:rsidRDefault="00400C65" w:rsidP="00400C6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What facts are missing?</w:t>
            </w:r>
          </w:p>
          <w:p w14:paraId="2BAA9AB8" w14:textId="3DD794AA" w:rsidR="00F96142" w:rsidRPr="00F203CF" w:rsidRDefault="00400C65" w:rsidP="007812D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Solve </w:t>
            </w:r>
            <w:r w:rsidR="007812DF" w:rsidRPr="00F203CF">
              <w:rPr>
                <w:rFonts w:ascii="Open Sans" w:hAnsi="Open Sans" w:cs="Open Sans"/>
                <w:sz w:val="22"/>
                <w:szCs w:val="22"/>
              </w:rPr>
              <w:t>using the functional notation given and verify the answer.</w:t>
            </w:r>
          </w:p>
          <w:p w14:paraId="1E47A6D2" w14:textId="77777777" w:rsidR="007812DF" w:rsidRPr="00F203CF" w:rsidRDefault="007812DF" w:rsidP="007812DF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1259C4C" w14:textId="77777777" w:rsidR="00B3350C" w:rsidRPr="00F203CF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AF33D27" w:rsidR="00CF2E7E" w:rsidRPr="00F203CF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00C65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F203CF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92C64AB" w:rsidR="00CF2E7E" w:rsidRPr="00F203CF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00C65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F203CF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05BB487" w:rsidR="00CF2E7E" w:rsidRPr="00F203CF" w:rsidRDefault="00FB561B" w:rsidP="00FB561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400C65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F203CF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46AE16B" w14:textId="77777777" w:rsidR="007812DF" w:rsidRPr="00F203CF" w:rsidRDefault="007812DF" w:rsidP="007812DF">
            <w:p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How do the following variables affect productivity?</w:t>
            </w:r>
          </w:p>
          <w:p w14:paraId="4356A8DA" w14:textId="77777777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Fertilizer, herbicide, pesticide</w:t>
            </w:r>
          </w:p>
          <w:p w14:paraId="6E988B15" w14:textId="77777777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Equipment costs</w:t>
            </w:r>
          </w:p>
          <w:p w14:paraId="6D1CA74D" w14:textId="77777777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Diseases</w:t>
            </w:r>
          </w:p>
          <w:p w14:paraId="7F4B2CC8" w14:textId="77777777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Water availability</w:t>
            </w:r>
          </w:p>
          <w:p w14:paraId="0201DF95" w14:textId="77777777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Market value of crops Varieties of pecans</w:t>
            </w:r>
          </w:p>
          <w:p w14:paraId="1CEB1266" w14:textId="77777777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Rainfall and other weather conditions</w:t>
            </w:r>
          </w:p>
          <w:p w14:paraId="64DCB549" w14:textId="46EDD456" w:rsidR="007812DF" w:rsidRPr="00F203CF" w:rsidRDefault="007812DF" w:rsidP="007812DF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Cs/>
                <w:sz w:val="22"/>
                <w:szCs w:val="22"/>
              </w:rPr>
              <w:t>Tree maturity</w:t>
            </w:r>
          </w:p>
          <w:p w14:paraId="4F428B7B" w14:textId="77777777" w:rsidR="007812DF" w:rsidRPr="00F203CF" w:rsidRDefault="007812DF" w:rsidP="007812DF">
            <w:pPr>
              <w:pStyle w:val="ListParagraph"/>
              <w:tabs>
                <w:tab w:val="left" w:pos="2820"/>
              </w:tabs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E675341" w14:textId="0223A5BD" w:rsidR="00B3350C" w:rsidRPr="00F203CF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8DFAC23" w:rsidR="00CF2E7E" w:rsidRPr="00F203CF" w:rsidRDefault="00FB561B" w:rsidP="00FB561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400C65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3664D9C9" w14:textId="35BFFEDE" w:rsidR="00785AF5" w:rsidRPr="00F203CF" w:rsidRDefault="00785AF5" w:rsidP="00785AF5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 xml:space="preserve">Algebra </w:t>
            </w:r>
            <w:r w:rsidR="00DB746E" w:rsidRPr="00F203CF">
              <w:rPr>
                <w:rFonts w:ascii="Open Sans" w:eastAsia="Cambria" w:hAnsi="Open Sans" w:cs="Open Sans"/>
                <w:sz w:val="22"/>
                <w:szCs w:val="22"/>
              </w:rPr>
              <w:t>to</w:t>
            </w: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 xml:space="preserve"> Go, Geometry </w:t>
            </w:r>
            <w:r w:rsidR="00A97203" w:rsidRPr="00F203CF">
              <w:rPr>
                <w:rFonts w:ascii="Open Sans" w:eastAsia="Cambria" w:hAnsi="Open Sans" w:cs="Open Sans"/>
                <w:sz w:val="22"/>
                <w:szCs w:val="22"/>
              </w:rPr>
              <w:t>to</w:t>
            </w: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 xml:space="preserve"> Go, Math </w:t>
            </w:r>
            <w:r w:rsidR="00A97203" w:rsidRPr="00F203CF">
              <w:rPr>
                <w:rFonts w:ascii="Open Sans" w:eastAsia="Cambria" w:hAnsi="Open Sans" w:cs="Open Sans"/>
                <w:sz w:val="22"/>
                <w:szCs w:val="22"/>
              </w:rPr>
              <w:t>at</w:t>
            </w: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 xml:space="preserve"> Hand</w:t>
            </w:r>
          </w:p>
          <w:p w14:paraId="1610A02C" w14:textId="39EED728" w:rsidR="00431E28" w:rsidRPr="00F203CF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w w:val="105"/>
                <w:sz w:val="22"/>
                <w:szCs w:val="22"/>
              </w:rPr>
              <w:t>Texas A&amp;M Ag</w:t>
            </w:r>
            <w:r w:rsidR="000B75CC" w:rsidRPr="00F203CF">
              <w:rPr>
                <w:rFonts w:ascii="Open Sans" w:eastAsia="Cambria" w:hAnsi="Open Sans" w:cs="Open Sans"/>
                <w:w w:val="105"/>
                <w:sz w:val="22"/>
                <w:szCs w:val="22"/>
              </w:rPr>
              <w:t>riLife Extension Service</w:t>
            </w:r>
          </w:p>
          <w:p w14:paraId="6CFE014D" w14:textId="3F93F780" w:rsidR="00431E28" w:rsidRPr="00F203CF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w w:val="105"/>
                <w:sz w:val="22"/>
                <w:szCs w:val="22"/>
              </w:rPr>
              <w:t>IMS Materials, Texas A&amp;M University</w:t>
            </w:r>
          </w:p>
          <w:p w14:paraId="2A8AADE9" w14:textId="77777777" w:rsidR="00431E28" w:rsidRPr="00F203CF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>Texas Education Agency curriculum resources</w:t>
            </w:r>
          </w:p>
          <w:p w14:paraId="13D651F5" w14:textId="101D619F" w:rsidR="00431E28" w:rsidRPr="00F203CF" w:rsidRDefault="00431E28" w:rsidP="00431E28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i/>
                <w:sz w:val="22"/>
                <w:szCs w:val="22"/>
                <w:u w:val="single"/>
              </w:rPr>
              <w:t>Mathematics for Agriculture</w:t>
            </w: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>, Betty Rogers, Interstate Publishers</w:t>
            </w:r>
          </w:p>
          <w:p w14:paraId="789B65CA" w14:textId="32002409" w:rsidR="00B3350C" w:rsidRPr="00F203CF" w:rsidRDefault="00785AF5" w:rsidP="00785AF5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 xml:space="preserve">When Are We Ever Gonna Have </w:t>
            </w:r>
            <w:r w:rsidR="00076D00" w:rsidRPr="00F203CF">
              <w:rPr>
                <w:rFonts w:ascii="Open Sans" w:eastAsia="Cambria" w:hAnsi="Open Sans" w:cs="Open Sans"/>
                <w:sz w:val="22"/>
                <w:szCs w:val="22"/>
              </w:rPr>
              <w:t>to</w:t>
            </w: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 xml:space="preserve"> Use This, Hal Saunders TI Agrimath Curriculum, Texas Instruments</w:t>
            </w:r>
          </w:p>
          <w:p w14:paraId="230B4636" w14:textId="1DED25BA" w:rsidR="000B75CC" w:rsidRPr="00F203CF" w:rsidRDefault="000B75CC" w:rsidP="00785AF5">
            <w:pPr>
              <w:pStyle w:val="ListParagraph"/>
              <w:widowControl w:val="0"/>
              <w:numPr>
                <w:ilvl w:val="0"/>
                <w:numId w:val="5"/>
              </w:numPr>
              <w:spacing w:before="15" w:line="283" w:lineRule="auto"/>
              <w:ind w:right="1883"/>
              <w:rPr>
                <w:rFonts w:ascii="Open Sans" w:eastAsia="Cambria" w:hAnsi="Open Sans" w:cs="Open Sans"/>
                <w:sz w:val="22"/>
                <w:szCs w:val="22"/>
              </w:rPr>
            </w:pPr>
            <w:r w:rsidRPr="00F203CF">
              <w:rPr>
                <w:rFonts w:ascii="Open Sans" w:eastAsia="Cambria" w:hAnsi="Open Sans" w:cs="Open Sans"/>
                <w:sz w:val="22"/>
                <w:szCs w:val="22"/>
              </w:rPr>
              <w:t>TI Agrimath Curriculum, Texas Instruments</w:t>
            </w:r>
          </w:p>
        </w:tc>
      </w:tr>
      <w:tr w:rsidR="00B3350C" w:rsidRPr="00400C65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2012E665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400C65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F203CF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F203C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B55E94C" w14:textId="77777777" w:rsidR="00785AF5" w:rsidRPr="00F203CF" w:rsidRDefault="0019712E" w:rsidP="00785AF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sz w:val="22"/>
                <w:szCs w:val="22"/>
              </w:rPr>
              <w:t>Mathematics</w:t>
            </w:r>
            <w:r w:rsidR="00785AF5" w:rsidRPr="00F203C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32715B9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I. C.1.c </w:t>
            </w:r>
          </w:p>
          <w:p w14:paraId="3242AE53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II.C.1.a</w:t>
            </w:r>
          </w:p>
          <w:p w14:paraId="3462A378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VII.A.1.a </w:t>
            </w:r>
          </w:p>
          <w:p w14:paraId="15EC3BB6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VII.A.2.a </w:t>
            </w:r>
          </w:p>
          <w:p w14:paraId="0C5D4D3D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VII.B.1.a </w:t>
            </w:r>
          </w:p>
          <w:p w14:paraId="3824A564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VII.C.1.b </w:t>
            </w:r>
          </w:p>
          <w:p w14:paraId="51B32380" w14:textId="7777777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 xml:space="preserve">VIII    </w:t>
            </w:r>
          </w:p>
          <w:p w14:paraId="625AEF30" w14:textId="6065D6B7" w:rsidR="007812DF" w:rsidRPr="00F203CF" w:rsidRDefault="007812DF" w:rsidP="007812D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IX</w:t>
            </w:r>
          </w:p>
          <w:p w14:paraId="16213AA9" w14:textId="6C44B6D6" w:rsidR="00B3350C" w:rsidRPr="00F203CF" w:rsidRDefault="007812DF" w:rsidP="00785AF5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X</w:t>
            </w:r>
          </w:p>
        </w:tc>
      </w:tr>
      <w:tr w:rsidR="00B3350C" w:rsidRPr="00400C65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400C65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258F6118" w14:textId="77777777" w:rsidTr="0A993E8D">
        <w:tc>
          <w:tcPr>
            <w:tcW w:w="2952" w:type="dxa"/>
            <w:shd w:val="clear" w:color="auto" w:fill="auto"/>
          </w:tcPr>
          <w:p w14:paraId="3CF2726B" w14:textId="6239555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177AA15" w:rsidR="00B3350C" w:rsidRPr="00F203CF" w:rsidRDefault="007812DF" w:rsidP="000B75C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Teacher Key – Work Sheet (Attached)</w:t>
            </w:r>
          </w:p>
        </w:tc>
      </w:tr>
      <w:tr w:rsidR="00B3350C" w:rsidRPr="00400C65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F203CF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203CF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F203CF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203CF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203CF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203CF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400C65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F203CF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203CF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424BDD03" w:rsidR="00B3350C" w:rsidRPr="00F203CF" w:rsidRDefault="007812DF" w:rsidP="007812DF">
            <w:pPr>
              <w:rPr>
                <w:rFonts w:ascii="Open Sans" w:hAnsi="Open Sans" w:cs="Open Sans"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sz w:val="22"/>
                <w:szCs w:val="22"/>
              </w:rPr>
              <w:t>How can this problem be applied in an agricultural setting?</w:t>
            </w:r>
          </w:p>
        </w:tc>
      </w:tr>
      <w:tr w:rsidR="00B3350C" w:rsidRPr="00400C65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400C65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F203CF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7F8AA2A" w14:textId="77777777" w:rsidR="000B560F" w:rsidRPr="000B560F" w:rsidRDefault="000B560F" w:rsidP="000B560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B560F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60804C0B" w:rsidR="000B560F" w:rsidRPr="000B560F" w:rsidRDefault="000B560F" w:rsidP="000B560F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B560F">
              <w:rPr>
                <w:rFonts w:ascii="Open Sans" w:hAnsi="Open Sans" w:cs="Open Sans"/>
                <w:sz w:val="22"/>
                <w:szCs w:val="22"/>
                <w:lang w:val="es-MX"/>
              </w:rPr>
              <w:t>FFA</w:t>
            </w:r>
          </w:p>
        </w:tc>
      </w:tr>
      <w:tr w:rsidR="00B3350C" w:rsidRPr="00400C65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F203C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F203C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400C65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F203CF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203CF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F203CF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F203CF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00C65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400C65" w:rsidSect="00AB6E45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9279B" w14:textId="77777777" w:rsidR="004C5B37" w:rsidRDefault="004C5B37" w:rsidP="00B3350C">
      <w:r>
        <w:separator/>
      </w:r>
    </w:p>
  </w:endnote>
  <w:endnote w:type="continuationSeparator" w:id="0">
    <w:p w14:paraId="41CA7B3A" w14:textId="77777777" w:rsidR="004C5B37" w:rsidRDefault="004C5B3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71DE7D90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C5B3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C5B3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46DC6" w14:textId="77777777" w:rsidR="004C5B37" w:rsidRDefault="004C5B37" w:rsidP="00B3350C">
      <w:bookmarkStart w:id="0" w:name="_Hlk484955581"/>
      <w:bookmarkEnd w:id="0"/>
      <w:r>
        <w:separator/>
      </w:r>
    </w:p>
  </w:footnote>
  <w:footnote w:type="continuationSeparator" w:id="0">
    <w:p w14:paraId="6AF75E49" w14:textId="77777777" w:rsidR="004C5B37" w:rsidRDefault="004C5B37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595AF572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409"/>
    <w:multiLevelType w:val="hybridMultilevel"/>
    <w:tmpl w:val="178E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5076"/>
    <w:multiLevelType w:val="hybridMultilevel"/>
    <w:tmpl w:val="26CE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0A90"/>
    <w:multiLevelType w:val="hybridMultilevel"/>
    <w:tmpl w:val="AE38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E01"/>
    <w:multiLevelType w:val="hybridMultilevel"/>
    <w:tmpl w:val="9C8E86D8"/>
    <w:lvl w:ilvl="0" w:tplc="36C0E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5103"/>
    <w:multiLevelType w:val="hybridMultilevel"/>
    <w:tmpl w:val="4B0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20CE"/>
    <w:multiLevelType w:val="hybridMultilevel"/>
    <w:tmpl w:val="4EA0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67D0"/>
    <w:multiLevelType w:val="hybridMultilevel"/>
    <w:tmpl w:val="D5F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6337F"/>
    <w:multiLevelType w:val="hybridMultilevel"/>
    <w:tmpl w:val="79A0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90AB4"/>
    <w:multiLevelType w:val="hybridMultilevel"/>
    <w:tmpl w:val="8BF0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11F4B"/>
    <w:multiLevelType w:val="hybridMultilevel"/>
    <w:tmpl w:val="74BC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44453"/>
    <w:multiLevelType w:val="hybridMultilevel"/>
    <w:tmpl w:val="C71A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0"/>
  </w:num>
  <w:num w:numId="12">
    <w:abstractNumId w:val="4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31E9"/>
    <w:rsid w:val="0001515F"/>
    <w:rsid w:val="00031033"/>
    <w:rsid w:val="00032E32"/>
    <w:rsid w:val="000367AF"/>
    <w:rsid w:val="00041506"/>
    <w:rsid w:val="000530D0"/>
    <w:rsid w:val="000643CB"/>
    <w:rsid w:val="00076D00"/>
    <w:rsid w:val="00082295"/>
    <w:rsid w:val="000870CF"/>
    <w:rsid w:val="000A6A2B"/>
    <w:rsid w:val="000B4DB1"/>
    <w:rsid w:val="000B55DB"/>
    <w:rsid w:val="000B560F"/>
    <w:rsid w:val="000B62DB"/>
    <w:rsid w:val="000B75CC"/>
    <w:rsid w:val="000D09AE"/>
    <w:rsid w:val="000E3926"/>
    <w:rsid w:val="000E54FE"/>
    <w:rsid w:val="000F2161"/>
    <w:rsid w:val="000F3BAE"/>
    <w:rsid w:val="00100350"/>
    <w:rsid w:val="00102605"/>
    <w:rsid w:val="00105B8D"/>
    <w:rsid w:val="0012758B"/>
    <w:rsid w:val="00130697"/>
    <w:rsid w:val="00131FD8"/>
    <w:rsid w:val="001365FC"/>
    <w:rsid w:val="00136851"/>
    <w:rsid w:val="001471B7"/>
    <w:rsid w:val="001505B8"/>
    <w:rsid w:val="00156CDF"/>
    <w:rsid w:val="0016751A"/>
    <w:rsid w:val="00193C53"/>
    <w:rsid w:val="0019712E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07ED3"/>
    <w:rsid w:val="0023197D"/>
    <w:rsid w:val="00235CC1"/>
    <w:rsid w:val="00237679"/>
    <w:rsid w:val="002427CE"/>
    <w:rsid w:val="00242B9F"/>
    <w:rsid w:val="00245C37"/>
    <w:rsid w:val="0026440E"/>
    <w:rsid w:val="0027350D"/>
    <w:rsid w:val="002849D5"/>
    <w:rsid w:val="0028613D"/>
    <w:rsid w:val="00292A95"/>
    <w:rsid w:val="00294FC7"/>
    <w:rsid w:val="002B1169"/>
    <w:rsid w:val="002B383C"/>
    <w:rsid w:val="002B3EEA"/>
    <w:rsid w:val="002C3BEC"/>
    <w:rsid w:val="002D294D"/>
    <w:rsid w:val="002D4B21"/>
    <w:rsid w:val="002D588D"/>
    <w:rsid w:val="002D5B46"/>
    <w:rsid w:val="002E68FE"/>
    <w:rsid w:val="002E70BB"/>
    <w:rsid w:val="002F0447"/>
    <w:rsid w:val="002F36F7"/>
    <w:rsid w:val="002F38C7"/>
    <w:rsid w:val="00302D74"/>
    <w:rsid w:val="003073A2"/>
    <w:rsid w:val="00322DCF"/>
    <w:rsid w:val="00334C7D"/>
    <w:rsid w:val="00340C51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3F17CC"/>
    <w:rsid w:val="00400C65"/>
    <w:rsid w:val="0040274D"/>
    <w:rsid w:val="00404593"/>
    <w:rsid w:val="00415CE4"/>
    <w:rsid w:val="00417B82"/>
    <w:rsid w:val="00422061"/>
    <w:rsid w:val="00431E28"/>
    <w:rsid w:val="00441DB8"/>
    <w:rsid w:val="0045160A"/>
    <w:rsid w:val="00452856"/>
    <w:rsid w:val="00455A1B"/>
    <w:rsid w:val="00461195"/>
    <w:rsid w:val="00463CC9"/>
    <w:rsid w:val="00481B0E"/>
    <w:rsid w:val="00490634"/>
    <w:rsid w:val="00496C0F"/>
    <w:rsid w:val="004C5B37"/>
    <w:rsid w:val="004C5C79"/>
    <w:rsid w:val="004C6DEB"/>
    <w:rsid w:val="004D107A"/>
    <w:rsid w:val="004D64F6"/>
    <w:rsid w:val="004E1321"/>
    <w:rsid w:val="004F05F4"/>
    <w:rsid w:val="004F3E6F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17D2"/>
    <w:rsid w:val="00584A48"/>
    <w:rsid w:val="00593DE3"/>
    <w:rsid w:val="005965D9"/>
    <w:rsid w:val="0059685E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F66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A787A"/>
    <w:rsid w:val="006B6D02"/>
    <w:rsid w:val="006C73FA"/>
    <w:rsid w:val="006E6B9A"/>
    <w:rsid w:val="006F1C95"/>
    <w:rsid w:val="006F6A38"/>
    <w:rsid w:val="006F7D04"/>
    <w:rsid w:val="006F7FF8"/>
    <w:rsid w:val="00700A55"/>
    <w:rsid w:val="0071181D"/>
    <w:rsid w:val="00713D68"/>
    <w:rsid w:val="0071599E"/>
    <w:rsid w:val="00717B55"/>
    <w:rsid w:val="007271B5"/>
    <w:rsid w:val="00741F1F"/>
    <w:rsid w:val="00754DDE"/>
    <w:rsid w:val="00760817"/>
    <w:rsid w:val="0076427D"/>
    <w:rsid w:val="00767E2B"/>
    <w:rsid w:val="00770C42"/>
    <w:rsid w:val="007750CF"/>
    <w:rsid w:val="007812DF"/>
    <w:rsid w:val="007820A0"/>
    <w:rsid w:val="00785AF5"/>
    <w:rsid w:val="00794DBE"/>
    <w:rsid w:val="00796BAE"/>
    <w:rsid w:val="007A6834"/>
    <w:rsid w:val="007C61A5"/>
    <w:rsid w:val="007E2BA7"/>
    <w:rsid w:val="0080201D"/>
    <w:rsid w:val="00804D79"/>
    <w:rsid w:val="0082093F"/>
    <w:rsid w:val="00825BCA"/>
    <w:rsid w:val="00826629"/>
    <w:rsid w:val="00826D88"/>
    <w:rsid w:val="0082766C"/>
    <w:rsid w:val="00831AAC"/>
    <w:rsid w:val="008321A5"/>
    <w:rsid w:val="00833DE5"/>
    <w:rsid w:val="00846089"/>
    <w:rsid w:val="00856BBD"/>
    <w:rsid w:val="008579B6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9A4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2BB0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07611"/>
    <w:rsid w:val="00A206B7"/>
    <w:rsid w:val="00A3064F"/>
    <w:rsid w:val="00A31FB3"/>
    <w:rsid w:val="00A45060"/>
    <w:rsid w:val="00A501F4"/>
    <w:rsid w:val="00A51796"/>
    <w:rsid w:val="00A52C36"/>
    <w:rsid w:val="00A602A5"/>
    <w:rsid w:val="00A918DA"/>
    <w:rsid w:val="00A97203"/>
    <w:rsid w:val="00A97251"/>
    <w:rsid w:val="00AB6E45"/>
    <w:rsid w:val="00AC4200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04C1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957CD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3E8C"/>
    <w:rsid w:val="00D275F0"/>
    <w:rsid w:val="00D30BE3"/>
    <w:rsid w:val="00D323BD"/>
    <w:rsid w:val="00D4427C"/>
    <w:rsid w:val="00D61781"/>
    <w:rsid w:val="00D62037"/>
    <w:rsid w:val="00D8660C"/>
    <w:rsid w:val="00DB746E"/>
    <w:rsid w:val="00DD0449"/>
    <w:rsid w:val="00DD2AE9"/>
    <w:rsid w:val="00DE41E1"/>
    <w:rsid w:val="00DF6585"/>
    <w:rsid w:val="00E02301"/>
    <w:rsid w:val="00E03B9D"/>
    <w:rsid w:val="00E0498F"/>
    <w:rsid w:val="00E10003"/>
    <w:rsid w:val="00E25A40"/>
    <w:rsid w:val="00E361D0"/>
    <w:rsid w:val="00E36775"/>
    <w:rsid w:val="00E37D7E"/>
    <w:rsid w:val="00E477A6"/>
    <w:rsid w:val="00E759AC"/>
    <w:rsid w:val="00E765DE"/>
    <w:rsid w:val="00E76E2C"/>
    <w:rsid w:val="00E848E6"/>
    <w:rsid w:val="00EA0348"/>
    <w:rsid w:val="00EC4A06"/>
    <w:rsid w:val="00EC6611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203CF"/>
    <w:rsid w:val="00F45A40"/>
    <w:rsid w:val="00F45D13"/>
    <w:rsid w:val="00F61524"/>
    <w:rsid w:val="00F663E9"/>
    <w:rsid w:val="00F716A4"/>
    <w:rsid w:val="00F76DF1"/>
    <w:rsid w:val="00F7773D"/>
    <w:rsid w:val="00F82C18"/>
    <w:rsid w:val="00F82C70"/>
    <w:rsid w:val="00F832B6"/>
    <w:rsid w:val="00F908D7"/>
    <w:rsid w:val="00F90B7A"/>
    <w:rsid w:val="00F96142"/>
    <w:rsid w:val="00F968F9"/>
    <w:rsid w:val="00FA23F9"/>
    <w:rsid w:val="00FB0837"/>
    <w:rsid w:val="00FB561B"/>
    <w:rsid w:val="00FB5951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00E1D3-AF33-461E-AB6A-D6C6DE52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2017-10-08T18:21:00Z</dcterms:created>
  <dcterms:modified xsi:type="dcterms:W3CDTF">2017-10-08T18:32:00Z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