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F7C7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070B526" w:rsidR="00B3350C" w:rsidRPr="00BF7C7F" w:rsidRDefault="003605BF"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BF7C7F" w:rsidRDefault="001D18B8" w:rsidP="003D5621">
            <w:pPr>
              <w:jc w:val="center"/>
              <w:rPr>
                <w:rFonts w:ascii="Open Sans" w:hAnsi="Open Sans" w:cs="Open Sans"/>
                <w:b/>
                <w:sz w:val="22"/>
                <w:szCs w:val="22"/>
              </w:rPr>
            </w:pPr>
            <w:hyperlink r:id="rId11" w:history="1">
              <w:r w:rsidR="002D294D" w:rsidRPr="00BF7C7F">
                <w:rPr>
                  <w:rStyle w:val="Hyperlink"/>
                  <w:rFonts w:ascii="Open Sans" w:hAnsi="Open Sans" w:cs="Open Sans"/>
                  <w:sz w:val="22"/>
                  <w:szCs w:val="22"/>
                </w:rPr>
                <w:t>www.txcte.org</w:t>
              </w:r>
            </w:hyperlink>
            <w:r w:rsidR="002D294D" w:rsidRPr="00BF7C7F">
              <w:rPr>
                <w:rFonts w:ascii="Open Sans" w:hAnsi="Open Sans" w:cs="Open Sans"/>
                <w:b/>
                <w:sz w:val="22"/>
                <w:szCs w:val="22"/>
              </w:rPr>
              <w:t xml:space="preserve"> </w:t>
            </w:r>
          </w:p>
          <w:p w14:paraId="27CA2FBA" w14:textId="6865BA9F" w:rsidR="003D5621" w:rsidRPr="00BF7C7F" w:rsidRDefault="003D5621" w:rsidP="003D5621">
            <w:pPr>
              <w:jc w:val="center"/>
              <w:rPr>
                <w:rFonts w:ascii="Open Sans" w:hAnsi="Open Sans" w:cs="Open Sans"/>
                <w:b/>
                <w:sz w:val="22"/>
                <w:szCs w:val="22"/>
              </w:rPr>
            </w:pPr>
          </w:p>
        </w:tc>
      </w:tr>
      <w:tr w:rsidR="00B3350C" w:rsidRPr="00BF7C7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Lesson Identification and TEKS Addressed</w:t>
            </w:r>
          </w:p>
        </w:tc>
      </w:tr>
      <w:tr w:rsidR="00B3350C" w:rsidRPr="00BF7C7F"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3B599A9" w:rsidR="00B3350C" w:rsidRPr="00BF7C7F" w:rsidRDefault="00A7009E" w:rsidP="0058193B">
            <w:pPr>
              <w:spacing w:before="120" w:after="120"/>
              <w:rPr>
                <w:rFonts w:ascii="Open Sans" w:hAnsi="Open Sans" w:cs="Open Sans"/>
                <w:sz w:val="22"/>
                <w:szCs w:val="22"/>
              </w:rPr>
            </w:pPr>
            <w:r w:rsidRPr="00BF7C7F">
              <w:rPr>
                <w:rFonts w:ascii="Open Sans" w:hAnsi="Open Sans" w:cs="Open Sans"/>
                <w:sz w:val="22"/>
                <w:szCs w:val="22"/>
              </w:rPr>
              <w:t>Law, Public Safety, Corrections &amp; Security</w:t>
            </w:r>
          </w:p>
        </w:tc>
      </w:tr>
      <w:tr w:rsidR="00B3350C" w:rsidRPr="00BF7C7F" w14:paraId="6E5988F1" w14:textId="77777777" w:rsidTr="09D121B5">
        <w:tc>
          <w:tcPr>
            <w:tcW w:w="2952" w:type="dxa"/>
            <w:shd w:val="clear" w:color="auto" w:fill="auto"/>
          </w:tcPr>
          <w:p w14:paraId="108F9A4B" w14:textId="22F7B5E3"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Course Name</w:t>
            </w:r>
          </w:p>
        </w:tc>
        <w:tc>
          <w:tcPr>
            <w:tcW w:w="7848" w:type="dxa"/>
            <w:shd w:val="clear" w:color="auto" w:fill="auto"/>
          </w:tcPr>
          <w:p w14:paraId="701EF2E7" w14:textId="7D17B728" w:rsidR="00B3350C" w:rsidRPr="00BF7C7F" w:rsidRDefault="00A7009E" w:rsidP="0058193B">
            <w:pPr>
              <w:spacing w:before="120" w:after="120"/>
              <w:rPr>
                <w:rFonts w:ascii="Open Sans" w:hAnsi="Open Sans" w:cs="Open Sans"/>
                <w:sz w:val="22"/>
                <w:szCs w:val="22"/>
              </w:rPr>
            </w:pPr>
            <w:r w:rsidRPr="00BF7C7F">
              <w:rPr>
                <w:rFonts w:ascii="Open Sans" w:hAnsi="Open Sans" w:cs="Open Sans"/>
                <w:sz w:val="22"/>
                <w:szCs w:val="22"/>
              </w:rPr>
              <w:t>Forensic Science</w:t>
            </w:r>
          </w:p>
        </w:tc>
      </w:tr>
      <w:tr w:rsidR="00B3350C" w:rsidRPr="00BF7C7F" w14:paraId="16A9422A" w14:textId="77777777" w:rsidTr="09D121B5">
        <w:tc>
          <w:tcPr>
            <w:tcW w:w="2952" w:type="dxa"/>
            <w:shd w:val="clear" w:color="auto" w:fill="auto"/>
          </w:tcPr>
          <w:p w14:paraId="7BE77DA8" w14:textId="5799212A"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Lesson/Unit Title</w:t>
            </w:r>
          </w:p>
        </w:tc>
        <w:tc>
          <w:tcPr>
            <w:tcW w:w="7848" w:type="dxa"/>
            <w:shd w:val="clear" w:color="auto" w:fill="auto"/>
          </w:tcPr>
          <w:p w14:paraId="7ACC9CD3" w14:textId="622AB97C" w:rsidR="00B3350C" w:rsidRPr="00BF7C7F" w:rsidRDefault="00A7009E" w:rsidP="0058193B">
            <w:pPr>
              <w:spacing w:before="120" w:after="120"/>
              <w:rPr>
                <w:rFonts w:ascii="Open Sans" w:hAnsi="Open Sans" w:cs="Open Sans"/>
                <w:sz w:val="22"/>
                <w:szCs w:val="22"/>
              </w:rPr>
            </w:pPr>
            <w:r w:rsidRPr="00BF7C7F">
              <w:rPr>
                <w:rFonts w:ascii="Open Sans" w:hAnsi="Open Sans" w:cs="Open Sans"/>
                <w:sz w:val="22"/>
                <w:szCs w:val="22"/>
              </w:rPr>
              <w:t>Legal Systems</w:t>
            </w:r>
          </w:p>
        </w:tc>
      </w:tr>
      <w:tr w:rsidR="00B3350C" w:rsidRPr="00BF7C7F" w14:paraId="7029DC65" w14:textId="77777777" w:rsidTr="09D121B5">
        <w:trPr>
          <w:trHeight w:val="135"/>
        </w:trPr>
        <w:tc>
          <w:tcPr>
            <w:tcW w:w="2952" w:type="dxa"/>
            <w:shd w:val="clear" w:color="auto" w:fill="auto"/>
          </w:tcPr>
          <w:p w14:paraId="765C144E" w14:textId="4CCD2C10"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TEKS Student Expectations</w:t>
            </w:r>
          </w:p>
        </w:tc>
        <w:tc>
          <w:tcPr>
            <w:tcW w:w="7848" w:type="dxa"/>
            <w:shd w:val="clear" w:color="auto" w:fill="auto"/>
          </w:tcPr>
          <w:p w14:paraId="1A2CB2B9" w14:textId="255AFE82" w:rsidR="00BF7C7F" w:rsidRPr="00BF7C7F" w:rsidRDefault="00A7009E" w:rsidP="0058193B">
            <w:pPr>
              <w:spacing w:before="120" w:after="120"/>
              <w:rPr>
                <w:rFonts w:ascii="Open Sans" w:hAnsi="Open Sans" w:cs="Open Sans"/>
                <w:b/>
                <w:sz w:val="22"/>
                <w:szCs w:val="22"/>
              </w:rPr>
            </w:pPr>
            <w:r w:rsidRPr="00BF7C7F">
              <w:rPr>
                <w:rFonts w:ascii="Open Sans" w:hAnsi="Open Sans" w:cs="Open Sans"/>
                <w:b/>
                <w:sz w:val="22"/>
                <w:szCs w:val="22"/>
              </w:rPr>
              <w:t>130.339. (c)</w:t>
            </w:r>
            <w:r w:rsidR="00BF7C7F" w:rsidRPr="00BF7C7F">
              <w:rPr>
                <w:rFonts w:ascii="Open Sans" w:hAnsi="Open Sans" w:cs="Open Sans"/>
                <w:b/>
                <w:sz w:val="22"/>
                <w:szCs w:val="22"/>
              </w:rPr>
              <w:t xml:space="preserve"> Knowledge and Skills</w:t>
            </w:r>
          </w:p>
          <w:p w14:paraId="569ED51A" w14:textId="7A6287DE" w:rsidR="00A7009E" w:rsidRPr="00BF7C7F" w:rsidRDefault="00A7009E" w:rsidP="003F2FBC">
            <w:pPr>
              <w:spacing w:before="120" w:after="120"/>
              <w:ind w:left="720"/>
              <w:rPr>
                <w:rFonts w:ascii="Open Sans" w:hAnsi="Open Sans" w:cs="Open Sans"/>
                <w:sz w:val="22"/>
                <w:szCs w:val="22"/>
              </w:rPr>
            </w:pPr>
            <w:r w:rsidRPr="00BF7C7F">
              <w:rPr>
                <w:rFonts w:ascii="Open Sans" w:hAnsi="Open Sans" w:cs="Open Sans"/>
                <w:sz w:val="22"/>
                <w:szCs w:val="22"/>
              </w:rPr>
              <w:t>(5)</w:t>
            </w:r>
            <w:r w:rsidR="00BF7C7F" w:rsidRPr="00BF7C7F">
              <w:rPr>
                <w:rFonts w:ascii="Open Sans" w:hAnsi="Open Sans" w:cs="Open Sans"/>
                <w:sz w:val="22"/>
                <w:szCs w:val="22"/>
              </w:rPr>
              <w:t xml:space="preserve"> The student explores the history, legal aspects, and career </w:t>
            </w:r>
            <w:r w:rsidR="00BF7C7F">
              <w:rPr>
                <w:rFonts w:ascii="Open Sans" w:hAnsi="Open Sans" w:cs="Open Sans"/>
                <w:sz w:val="22"/>
                <w:szCs w:val="22"/>
              </w:rPr>
              <w:t>options within forensic science</w:t>
            </w:r>
          </w:p>
          <w:p w14:paraId="6A10E31C" w14:textId="1E6E33AB" w:rsidR="00A7009E" w:rsidRPr="00BF7C7F" w:rsidRDefault="00A7009E" w:rsidP="003F2FBC">
            <w:pPr>
              <w:spacing w:before="120" w:after="120"/>
              <w:ind w:left="1440"/>
              <w:rPr>
                <w:rFonts w:ascii="Open Sans" w:hAnsi="Open Sans" w:cs="Open Sans"/>
                <w:sz w:val="22"/>
                <w:szCs w:val="22"/>
              </w:rPr>
            </w:pPr>
            <w:r w:rsidRPr="00BF7C7F">
              <w:rPr>
                <w:rFonts w:ascii="Open Sans" w:hAnsi="Open Sans" w:cs="Open Sans"/>
                <w:sz w:val="22"/>
                <w:szCs w:val="22"/>
              </w:rPr>
              <w:t>(A) The student is expected to distinguish between criminalistics and criminology</w:t>
            </w:r>
          </w:p>
          <w:p w14:paraId="7C6BC289" w14:textId="310345F6" w:rsidR="00A7009E" w:rsidRPr="00BF7C7F" w:rsidRDefault="00A7009E" w:rsidP="003F2FBC">
            <w:pPr>
              <w:spacing w:before="120" w:after="120"/>
              <w:ind w:left="1440"/>
              <w:rPr>
                <w:rFonts w:ascii="Open Sans" w:hAnsi="Open Sans" w:cs="Open Sans"/>
                <w:sz w:val="22"/>
                <w:szCs w:val="22"/>
              </w:rPr>
            </w:pPr>
            <w:r w:rsidRPr="00BF7C7F">
              <w:rPr>
                <w:rFonts w:ascii="Open Sans" w:hAnsi="Open Sans" w:cs="Open Sans"/>
                <w:sz w:val="22"/>
                <w:szCs w:val="22"/>
              </w:rPr>
              <w:t>(B) The student is expected to identify and illustrate roles, functions, and responsibilities of different forensic science disciplines such as serology-DNA, controlled substances, toxicology, trace evidence, firearms, fingerprints, and questioned documents</w:t>
            </w:r>
          </w:p>
          <w:p w14:paraId="17FB4418" w14:textId="659FC103" w:rsidR="00A7009E" w:rsidRPr="00BF7C7F" w:rsidRDefault="00A7009E" w:rsidP="003F2FBC">
            <w:pPr>
              <w:spacing w:before="120" w:after="120"/>
              <w:ind w:left="1440"/>
              <w:rPr>
                <w:rFonts w:ascii="Open Sans" w:hAnsi="Open Sans" w:cs="Open Sans"/>
                <w:sz w:val="22"/>
                <w:szCs w:val="22"/>
              </w:rPr>
            </w:pPr>
            <w:r w:rsidRPr="00BF7C7F">
              <w:rPr>
                <w:rFonts w:ascii="Open Sans" w:hAnsi="Open Sans" w:cs="Open Sans"/>
                <w:sz w:val="22"/>
                <w:szCs w:val="22"/>
              </w:rPr>
              <w:t>(C) The student is expected to summarize the ethical standards required of a forensic science professional</w:t>
            </w:r>
          </w:p>
          <w:p w14:paraId="0FB5AEA6" w14:textId="169B0F2D" w:rsidR="00A7009E" w:rsidRPr="00BF7C7F" w:rsidRDefault="00A7009E" w:rsidP="003F2FBC">
            <w:pPr>
              <w:spacing w:before="120" w:after="120"/>
              <w:ind w:left="720"/>
              <w:rPr>
                <w:rFonts w:ascii="Open Sans" w:hAnsi="Open Sans" w:cs="Open Sans"/>
                <w:sz w:val="22"/>
                <w:szCs w:val="22"/>
              </w:rPr>
            </w:pPr>
            <w:r w:rsidRPr="00BF7C7F">
              <w:rPr>
                <w:rFonts w:ascii="Open Sans" w:hAnsi="Open Sans" w:cs="Open Sans"/>
                <w:sz w:val="22"/>
                <w:szCs w:val="22"/>
              </w:rPr>
              <w:t>(6)</w:t>
            </w:r>
            <w:r w:rsidR="00BF7C7F" w:rsidRPr="00BF7C7F">
              <w:rPr>
                <w:rFonts w:ascii="Open Sans" w:hAnsi="Open Sans" w:cs="Open Sans"/>
                <w:sz w:val="22"/>
                <w:szCs w:val="22"/>
              </w:rPr>
              <w:t xml:space="preserve"> The student recognizes the procedures of evidence collection while maintaining</w:t>
            </w:r>
            <w:r w:rsidR="00BF7C7F">
              <w:rPr>
                <w:rFonts w:ascii="Open Sans" w:hAnsi="Open Sans" w:cs="Open Sans"/>
                <w:sz w:val="22"/>
                <w:szCs w:val="22"/>
              </w:rPr>
              <w:t xml:space="preserve"> the integrity of a crime scene</w:t>
            </w:r>
          </w:p>
          <w:p w14:paraId="699C8AB0" w14:textId="60B431A6" w:rsidR="00A7009E" w:rsidRPr="00BF7C7F" w:rsidRDefault="00A7009E" w:rsidP="003F2FBC">
            <w:pPr>
              <w:spacing w:before="120" w:after="120"/>
              <w:ind w:left="1440"/>
              <w:rPr>
                <w:rFonts w:ascii="Open Sans" w:hAnsi="Open Sans" w:cs="Open Sans"/>
                <w:sz w:val="22"/>
                <w:szCs w:val="22"/>
              </w:rPr>
            </w:pPr>
            <w:r w:rsidRPr="00BF7C7F">
              <w:rPr>
                <w:rFonts w:ascii="Open Sans" w:hAnsi="Open Sans" w:cs="Open Sans"/>
                <w:sz w:val="22"/>
                <w:szCs w:val="22"/>
              </w:rPr>
              <w:t>(D) The student is expected to apply knowledge of the elements of criminal law that guide search and seizure of persons, property, and evidence</w:t>
            </w:r>
          </w:p>
          <w:p w14:paraId="4583E660" w14:textId="2B4F5659" w:rsidR="00A7009E" w:rsidRPr="00BF7C7F" w:rsidRDefault="00A7009E" w:rsidP="003F2FBC">
            <w:pPr>
              <w:spacing w:before="120" w:after="120"/>
              <w:ind w:left="1440"/>
              <w:rPr>
                <w:rFonts w:ascii="Open Sans" w:hAnsi="Open Sans" w:cs="Open Sans"/>
                <w:sz w:val="22"/>
                <w:szCs w:val="22"/>
              </w:rPr>
            </w:pPr>
            <w:r w:rsidRPr="00BF7C7F">
              <w:rPr>
                <w:rFonts w:ascii="Open Sans" w:hAnsi="Open Sans" w:cs="Open Sans"/>
                <w:sz w:val="22"/>
                <w:szCs w:val="22"/>
              </w:rPr>
              <w:t>(G) The student is expected to outline the chain of custody procedure for evidence</w:t>
            </w:r>
            <w:r w:rsidR="00BF7C7F">
              <w:rPr>
                <w:rFonts w:ascii="Open Sans" w:hAnsi="Open Sans" w:cs="Open Sans"/>
                <w:sz w:val="22"/>
                <w:szCs w:val="22"/>
              </w:rPr>
              <w:t xml:space="preserve"> discovered in a crime scene</w:t>
            </w:r>
          </w:p>
        </w:tc>
      </w:tr>
      <w:tr w:rsidR="00B3350C" w:rsidRPr="00BF7C7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Basic Direct Teach Lesson</w:t>
            </w:r>
          </w:p>
          <w:p w14:paraId="3BC06FE8" w14:textId="28B382E3" w:rsidR="00B3350C" w:rsidRPr="00BF7C7F" w:rsidRDefault="006052AA" w:rsidP="0058193B">
            <w:pPr>
              <w:jc w:val="center"/>
              <w:rPr>
                <w:rFonts w:ascii="Open Sans" w:hAnsi="Open Sans" w:cs="Open Sans"/>
                <w:sz w:val="22"/>
                <w:szCs w:val="22"/>
              </w:rPr>
            </w:pPr>
            <w:r w:rsidRPr="00BF7C7F">
              <w:rPr>
                <w:rFonts w:ascii="Open Sans" w:hAnsi="Open Sans" w:cs="Open Sans"/>
                <w:sz w:val="22"/>
                <w:szCs w:val="22"/>
              </w:rPr>
              <w:t xml:space="preserve">(Includes </w:t>
            </w:r>
            <w:r w:rsidR="00B3350C" w:rsidRPr="00BF7C7F">
              <w:rPr>
                <w:rFonts w:ascii="Open Sans" w:hAnsi="Open Sans" w:cs="Open Sans"/>
                <w:sz w:val="22"/>
                <w:szCs w:val="22"/>
              </w:rPr>
              <w:t xml:space="preserve">Special Education Modifications/Accommodations and </w:t>
            </w:r>
          </w:p>
          <w:p w14:paraId="3042A4DA" w14:textId="6E415551" w:rsidR="00B3350C" w:rsidRPr="00BF7C7F" w:rsidRDefault="00B3350C" w:rsidP="00D0097D">
            <w:pPr>
              <w:jc w:val="center"/>
              <w:rPr>
                <w:rFonts w:ascii="Open Sans" w:hAnsi="Open Sans" w:cs="Open Sans"/>
                <w:sz w:val="22"/>
                <w:szCs w:val="22"/>
              </w:rPr>
            </w:pPr>
            <w:r w:rsidRPr="00BF7C7F">
              <w:rPr>
                <w:rFonts w:ascii="Open Sans" w:hAnsi="Open Sans" w:cs="Open Sans"/>
                <w:sz w:val="22"/>
                <w:szCs w:val="22"/>
              </w:rPr>
              <w:t>one English Language Proficiency Standards (ELPS) Strategy</w:t>
            </w:r>
            <w:r w:rsidR="006052AA" w:rsidRPr="00BF7C7F">
              <w:rPr>
                <w:rFonts w:ascii="Open Sans" w:hAnsi="Open Sans" w:cs="Open Sans"/>
                <w:sz w:val="22"/>
                <w:szCs w:val="22"/>
              </w:rPr>
              <w:t>)</w:t>
            </w:r>
          </w:p>
          <w:p w14:paraId="5635CDF7" w14:textId="3179FF44" w:rsidR="00D0097D" w:rsidRPr="00BF7C7F" w:rsidRDefault="00D0097D" w:rsidP="00D0097D">
            <w:pPr>
              <w:jc w:val="center"/>
              <w:rPr>
                <w:rFonts w:ascii="Open Sans" w:hAnsi="Open Sans" w:cs="Open Sans"/>
                <w:b/>
                <w:sz w:val="22"/>
                <w:szCs w:val="22"/>
              </w:rPr>
            </w:pPr>
          </w:p>
        </w:tc>
      </w:tr>
      <w:tr w:rsidR="00B3350C" w:rsidRPr="00BF7C7F" w14:paraId="49CA021C" w14:textId="77777777" w:rsidTr="09D121B5">
        <w:trPr>
          <w:trHeight w:val="27"/>
        </w:trPr>
        <w:tc>
          <w:tcPr>
            <w:tcW w:w="2952" w:type="dxa"/>
            <w:shd w:val="clear" w:color="auto" w:fill="auto"/>
          </w:tcPr>
          <w:p w14:paraId="3E12574F" w14:textId="76204C22" w:rsidR="00B3350C" w:rsidRPr="00BF7C7F" w:rsidRDefault="00B3350C" w:rsidP="0058193B">
            <w:pPr>
              <w:spacing w:before="120" w:after="120"/>
              <w:jc w:val="center"/>
              <w:rPr>
                <w:rFonts w:ascii="Open Sans" w:hAnsi="Open Sans" w:cs="Open Sans"/>
                <w:b/>
                <w:sz w:val="22"/>
                <w:szCs w:val="22"/>
              </w:rPr>
            </w:pPr>
            <w:r w:rsidRPr="00BF7C7F">
              <w:rPr>
                <w:rFonts w:ascii="Open Sans" w:hAnsi="Open Sans" w:cs="Open Sans"/>
                <w:b/>
                <w:sz w:val="22"/>
                <w:szCs w:val="22"/>
              </w:rPr>
              <w:t>Instructional Objective</w:t>
            </w:r>
            <w:r w:rsidR="008902B2" w:rsidRPr="00BF7C7F">
              <w:rPr>
                <w:rFonts w:ascii="Open Sans" w:hAnsi="Open Sans" w:cs="Open Sans"/>
                <w:b/>
                <w:sz w:val="22"/>
                <w:szCs w:val="22"/>
              </w:rPr>
              <w:t>s</w:t>
            </w:r>
          </w:p>
        </w:tc>
        <w:tc>
          <w:tcPr>
            <w:tcW w:w="7848" w:type="dxa"/>
            <w:shd w:val="clear" w:color="auto" w:fill="auto"/>
          </w:tcPr>
          <w:p w14:paraId="1E5D51DE" w14:textId="77777777" w:rsidR="00B3350C" w:rsidRPr="00BF7C7F" w:rsidRDefault="00A7009E" w:rsidP="008902B2">
            <w:pPr>
              <w:rPr>
                <w:rFonts w:ascii="Open Sans" w:hAnsi="Open Sans" w:cs="Open Sans"/>
                <w:color w:val="333333"/>
                <w:sz w:val="22"/>
                <w:szCs w:val="22"/>
              </w:rPr>
            </w:pPr>
            <w:r w:rsidRPr="00BF7C7F">
              <w:rPr>
                <w:rFonts w:ascii="Open Sans" w:hAnsi="Open Sans" w:cs="Open Sans"/>
                <w:color w:val="333333"/>
                <w:sz w:val="22"/>
                <w:szCs w:val="22"/>
              </w:rPr>
              <w:t xml:space="preserve">The student will be able to </w:t>
            </w:r>
          </w:p>
          <w:p w14:paraId="16BDAEED" w14:textId="7F3DCD47" w:rsidR="00A7009E" w:rsidRPr="00BF7C7F" w:rsidRDefault="00A7009E" w:rsidP="00B71332">
            <w:pPr>
              <w:pStyle w:val="ListParagraph"/>
              <w:numPr>
                <w:ilvl w:val="0"/>
                <w:numId w:val="2"/>
              </w:numPr>
              <w:rPr>
                <w:rFonts w:ascii="Open Sans" w:hAnsi="Open Sans" w:cs="Open Sans"/>
                <w:color w:val="333333"/>
                <w:sz w:val="22"/>
                <w:szCs w:val="22"/>
              </w:rPr>
            </w:pPr>
            <w:r w:rsidRPr="00BF7C7F">
              <w:rPr>
                <w:rFonts w:ascii="Open Sans" w:hAnsi="Open Sans" w:cs="Open Sans"/>
                <w:color w:val="333333"/>
                <w:sz w:val="22"/>
                <w:szCs w:val="22"/>
              </w:rPr>
              <w:t>provide similarities and differences between criminalistics and forensics, and explain the different duties of each forensic unit;</w:t>
            </w:r>
          </w:p>
          <w:p w14:paraId="47913BB1" w14:textId="216111B6" w:rsidR="00A7009E" w:rsidRPr="00BF7C7F" w:rsidRDefault="00A7009E" w:rsidP="00B71332">
            <w:pPr>
              <w:pStyle w:val="ListParagraph"/>
              <w:numPr>
                <w:ilvl w:val="0"/>
                <w:numId w:val="2"/>
              </w:numPr>
              <w:rPr>
                <w:rFonts w:ascii="Open Sans" w:hAnsi="Open Sans" w:cs="Open Sans"/>
                <w:color w:val="333333"/>
                <w:sz w:val="22"/>
                <w:szCs w:val="22"/>
              </w:rPr>
            </w:pPr>
            <w:r w:rsidRPr="00BF7C7F">
              <w:rPr>
                <w:rFonts w:ascii="Open Sans" w:hAnsi="Open Sans" w:cs="Open Sans"/>
                <w:color w:val="333333"/>
                <w:sz w:val="22"/>
                <w:szCs w:val="22"/>
              </w:rPr>
              <w:t>describe the legal responsibilities of forensic science professionals in and out of the courtroom; and</w:t>
            </w:r>
          </w:p>
          <w:p w14:paraId="60AC3715" w14:textId="1AC12C80" w:rsidR="00A7009E" w:rsidRPr="00BF7C7F" w:rsidRDefault="00A7009E" w:rsidP="00B71332">
            <w:pPr>
              <w:pStyle w:val="ListParagraph"/>
              <w:numPr>
                <w:ilvl w:val="0"/>
                <w:numId w:val="2"/>
              </w:numPr>
              <w:rPr>
                <w:rFonts w:ascii="Open Sans" w:hAnsi="Open Sans" w:cs="Open Sans"/>
                <w:color w:val="333333"/>
                <w:sz w:val="22"/>
                <w:szCs w:val="22"/>
              </w:rPr>
            </w:pPr>
            <w:r w:rsidRPr="00BF7C7F">
              <w:rPr>
                <w:rFonts w:ascii="Open Sans" w:hAnsi="Open Sans" w:cs="Open Sans"/>
                <w:color w:val="333333"/>
                <w:sz w:val="22"/>
                <w:szCs w:val="22"/>
              </w:rPr>
              <w:lastRenderedPageBreak/>
              <w:t>recognize the function of evidence and how it is perceived in the courtroom according to the law.</w:t>
            </w:r>
          </w:p>
        </w:tc>
      </w:tr>
      <w:tr w:rsidR="00B3350C" w:rsidRPr="00BF7C7F" w14:paraId="741CD4A0" w14:textId="77777777" w:rsidTr="09D121B5">
        <w:trPr>
          <w:trHeight w:val="27"/>
        </w:trPr>
        <w:tc>
          <w:tcPr>
            <w:tcW w:w="2952" w:type="dxa"/>
            <w:shd w:val="clear" w:color="auto" w:fill="auto"/>
          </w:tcPr>
          <w:p w14:paraId="65BFD213" w14:textId="6A49AE17"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lastRenderedPageBreak/>
              <w:t>Rationale</w:t>
            </w:r>
          </w:p>
        </w:tc>
        <w:tc>
          <w:tcPr>
            <w:tcW w:w="7848" w:type="dxa"/>
            <w:shd w:val="clear" w:color="auto" w:fill="auto"/>
          </w:tcPr>
          <w:p w14:paraId="0AEAFDF2" w14:textId="45E87759" w:rsidR="00B3350C" w:rsidRPr="00BF7C7F" w:rsidRDefault="00A7009E" w:rsidP="0058193B">
            <w:pPr>
              <w:spacing w:before="120" w:after="120"/>
              <w:rPr>
                <w:rFonts w:ascii="Open Sans" w:hAnsi="Open Sans" w:cs="Open Sans"/>
                <w:sz w:val="22"/>
                <w:szCs w:val="22"/>
              </w:rPr>
            </w:pPr>
            <w:r w:rsidRPr="00BF7C7F">
              <w:rPr>
                <w:rFonts w:ascii="Open Sans" w:hAnsi="Open Sans" w:cs="Open Sans"/>
                <w:sz w:val="22"/>
                <w:szCs w:val="22"/>
              </w:rPr>
              <w:t xml:space="preserve">It is crucial that crime scene investigators and forensic scientists understand the official significance of evidence, from collection to the courtroom. Also, forensic science has many different divisions and each specialty has a distinctive role in the legal system. Understanding this is essential for functioning productively and effectively within the system. </w:t>
            </w:r>
          </w:p>
        </w:tc>
      </w:tr>
      <w:tr w:rsidR="00B3350C" w:rsidRPr="00BF7C7F" w14:paraId="46AD6D97" w14:textId="77777777" w:rsidTr="09D121B5">
        <w:trPr>
          <w:trHeight w:val="27"/>
        </w:trPr>
        <w:tc>
          <w:tcPr>
            <w:tcW w:w="2952" w:type="dxa"/>
            <w:shd w:val="clear" w:color="auto" w:fill="auto"/>
          </w:tcPr>
          <w:p w14:paraId="1115E24F" w14:textId="27A88A37"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Duration of Lesson</w:t>
            </w:r>
          </w:p>
        </w:tc>
        <w:tc>
          <w:tcPr>
            <w:tcW w:w="7848" w:type="dxa"/>
            <w:shd w:val="clear" w:color="auto" w:fill="auto"/>
          </w:tcPr>
          <w:p w14:paraId="0F979EA2" w14:textId="1CAD8221" w:rsidR="00B3350C" w:rsidRPr="00BF7C7F" w:rsidRDefault="00A86492" w:rsidP="0058193B">
            <w:pPr>
              <w:spacing w:before="120" w:after="120"/>
              <w:rPr>
                <w:rFonts w:ascii="Open Sans" w:hAnsi="Open Sans" w:cs="Open Sans"/>
                <w:sz w:val="22"/>
                <w:szCs w:val="22"/>
              </w:rPr>
            </w:pPr>
            <w:r w:rsidRPr="00BF7C7F">
              <w:rPr>
                <w:rFonts w:ascii="Open Sans" w:eastAsia="Arial" w:hAnsi="Open Sans" w:cs="Open Sans"/>
                <w:iCs/>
                <w:sz w:val="22"/>
                <w:szCs w:val="22"/>
              </w:rPr>
              <w:t>4 to 6 hours</w:t>
            </w:r>
          </w:p>
        </w:tc>
      </w:tr>
      <w:tr w:rsidR="00B3350C" w:rsidRPr="00BF7C7F" w14:paraId="3F56A797" w14:textId="77777777" w:rsidTr="09D121B5">
        <w:trPr>
          <w:trHeight w:val="27"/>
        </w:trPr>
        <w:tc>
          <w:tcPr>
            <w:tcW w:w="2952" w:type="dxa"/>
            <w:shd w:val="clear" w:color="auto" w:fill="auto"/>
          </w:tcPr>
          <w:p w14:paraId="0652114D" w14:textId="0289A7F3" w:rsidR="00B3350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Word Wall/Key Vocabulary</w:t>
            </w:r>
          </w:p>
          <w:p w14:paraId="156E697A" w14:textId="319E44A3" w:rsidR="00B3350C" w:rsidRPr="00BF7C7F" w:rsidRDefault="09D121B5" w:rsidP="09D121B5">
            <w:pPr>
              <w:jc w:val="center"/>
              <w:rPr>
                <w:rFonts w:ascii="Open Sans" w:hAnsi="Open Sans" w:cs="Open Sans"/>
                <w:sz w:val="22"/>
                <w:szCs w:val="22"/>
              </w:rPr>
            </w:pPr>
            <w:r w:rsidRPr="00BF7C7F">
              <w:rPr>
                <w:rFonts w:ascii="Open Sans" w:hAnsi="Open Sans" w:cs="Open Sans"/>
                <w:i/>
                <w:iCs/>
                <w:sz w:val="22"/>
                <w:szCs w:val="22"/>
              </w:rPr>
              <w:t>(ELPS c1a,c,f; c2b; c3a,b,d; c4c; c5b) PDAS II(5)</w:t>
            </w:r>
          </w:p>
        </w:tc>
        <w:tc>
          <w:tcPr>
            <w:tcW w:w="7848" w:type="dxa"/>
            <w:shd w:val="clear" w:color="auto" w:fill="auto"/>
          </w:tcPr>
          <w:p w14:paraId="5EDAE48B" w14:textId="77777777" w:rsidR="006C014A" w:rsidRDefault="006C014A" w:rsidP="00410D65">
            <w:pPr>
              <w:spacing w:line="236" w:lineRule="auto"/>
              <w:ind w:right="120"/>
              <w:rPr>
                <w:rFonts w:ascii="Open Sans" w:eastAsia="Arial" w:hAnsi="Open Sans" w:cs="Open Sans"/>
                <w:sz w:val="22"/>
                <w:szCs w:val="22"/>
              </w:rPr>
            </w:pPr>
            <w:r>
              <w:rPr>
                <w:rFonts w:ascii="Open Sans" w:eastAsia="Arial" w:hAnsi="Open Sans" w:cs="Open Sans"/>
                <w:sz w:val="22"/>
                <w:szCs w:val="22"/>
              </w:rPr>
              <w:t>See Outline</w:t>
            </w:r>
          </w:p>
          <w:p w14:paraId="58487352" w14:textId="2186F4DF" w:rsidR="00410D65" w:rsidRPr="00BF7C7F" w:rsidRDefault="00410D65" w:rsidP="00410D65">
            <w:pPr>
              <w:spacing w:line="236" w:lineRule="auto"/>
              <w:ind w:right="120"/>
              <w:rPr>
                <w:rFonts w:ascii="Open Sans" w:hAnsi="Open Sans" w:cs="Open Sans"/>
                <w:sz w:val="22"/>
                <w:szCs w:val="22"/>
              </w:rPr>
            </w:pPr>
            <w:r w:rsidRPr="00BF7C7F">
              <w:rPr>
                <w:rFonts w:ascii="Open Sans" w:eastAsia="Arial" w:hAnsi="Open Sans" w:cs="Open Sans"/>
                <w:sz w:val="22"/>
                <w:szCs w:val="22"/>
              </w:rPr>
              <w:t>For reinforcement, students will look up all key vocabulary terms in their book or on the Internet and draw pictures of the key ter</w:t>
            </w:r>
            <w:r w:rsidR="006C014A">
              <w:rPr>
                <w:rFonts w:ascii="Open Sans" w:eastAsia="Arial" w:hAnsi="Open Sans" w:cs="Open Sans"/>
                <w:sz w:val="22"/>
                <w:szCs w:val="22"/>
              </w:rPr>
              <w:t>ms</w:t>
            </w:r>
            <w:r w:rsidRPr="00BF7C7F">
              <w:rPr>
                <w:rFonts w:ascii="Open Sans" w:eastAsia="Arial" w:hAnsi="Open Sans" w:cs="Open Sans"/>
                <w:sz w:val="22"/>
                <w:szCs w:val="22"/>
              </w:rPr>
              <w:t>. Use the Individual Work Rubric for assessment.</w:t>
            </w:r>
          </w:p>
          <w:p w14:paraId="47D13121" w14:textId="4AEA1125" w:rsidR="00410D65" w:rsidRPr="00BF7C7F" w:rsidRDefault="00410D65" w:rsidP="0058193B">
            <w:pPr>
              <w:spacing w:before="120" w:after="120"/>
              <w:rPr>
                <w:rFonts w:ascii="Open Sans" w:hAnsi="Open Sans" w:cs="Open Sans"/>
                <w:sz w:val="22"/>
                <w:szCs w:val="22"/>
              </w:rPr>
            </w:pPr>
          </w:p>
        </w:tc>
      </w:tr>
      <w:tr w:rsidR="00B3350C" w:rsidRPr="00BF7C7F" w14:paraId="2AB98FD6" w14:textId="77777777" w:rsidTr="09D121B5">
        <w:trPr>
          <w:trHeight w:val="27"/>
        </w:trPr>
        <w:tc>
          <w:tcPr>
            <w:tcW w:w="2952" w:type="dxa"/>
            <w:shd w:val="clear" w:color="auto" w:fill="auto"/>
          </w:tcPr>
          <w:p w14:paraId="7A681535" w14:textId="1FBBFA88"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Materials/Specialized Equipment Needed</w:t>
            </w:r>
          </w:p>
        </w:tc>
        <w:tc>
          <w:tcPr>
            <w:tcW w:w="7848" w:type="dxa"/>
            <w:shd w:val="clear" w:color="auto" w:fill="auto"/>
          </w:tcPr>
          <w:p w14:paraId="213F4DF0" w14:textId="77777777" w:rsidR="00410D65" w:rsidRPr="00BF7C7F" w:rsidRDefault="00410D65" w:rsidP="00410D65">
            <w:pPr>
              <w:spacing w:line="11" w:lineRule="exact"/>
              <w:rPr>
                <w:rFonts w:ascii="Open Sans" w:hAnsi="Open Sans" w:cs="Open Sans"/>
                <w:sz w:val="22"/>
                <w:szCs w:val="22"/>
              </w:rPr>
            </w:pPr>
          </w:p>
          <w:p w14:paraId="149DB9B2" w14:textId="694D9A2B" w:rsidR="00410D65" w:rsidRPr="00BF7C7F" w:rsidRDefault="00410D65" w:rsidP="00410D65">
            <w:pPr>
              <w:spacing w:line="235" w:lineRule="auto"/>
              <w:ind w:right="640"/>
              <w:rPr>
                <w:rFonts w:ascii="Open Sans" w:eastAsia="Arial" w:hAnsi="Open Sans" w:cs="Open Sans"/>
                <w:sz w:val="22"/>
                <w:szCs w:val="22"/>
              </w:rPr>
            </w:pPr>
            <w:r w:rsidRPr="00BF7C7F">
              <w:rPr>
                <w:rFonts w:ascii="Open Sans" w:eastAsia="Arial" w:hAnsi="Open Sans" w:cs="Open Sans"/>
                <w:sz w:val="22"/>
                <w:szCs w:val="22"/>
              </w:rPr>
              <w:t>O.J. Simpson: An Example of Problems with Evidence Handout and Key Legal Systems Crossword Puzzle and Key</w:t>
            </w:r>
          </w:p>
          <w:p w14:paraId="01F98B4E" w14:textId="757E95EB" w:rsidR="00410D65" w:rsidRPr="00BF7C7F" w:rsidRDefault="00410D65" w:rsidP="00410D65">
            <w:pPr>
              <w:rPr>
                <w:rFonts w:ascii="Open Sans" w:hAnsi="Open Sans" w:cs="Open Sans"/>
                <w:sz w:val="22"/>
                <w:szCs w:val="22"/>
              </w:rPr>
            </w:pPr>
            <w:r w:rsidRPr="00BF7C7F">
              <w:rPr>
                <w:rFonts w:ascii="Open Sans" w:eastAsia="Arial" w:hAnsi="Open Sans" w:cs="Open Sans"/>
                <w:sz w:val="22"/>
                <w:szCs w:val="22"/>
              </w:rPr>
              <w:t>Smash and Grab Questions Handout and Key</w:t>
            </w:r>
          </w:p>
          <w:p w14:paraId="5D61E62F" w14:textId="77777777" w:rsidR="00410D65" w:rsidRPr="00BF7C7F" w:rsidRDefault="00410D65" w:rsidP="00410D65">
            <w:pPr>
              <w:spacing w:line="11" w:lineRule="exact"/>
              <w:rPr>
                <w:rFonts w:ascii="Open Sans" w:hAnsi="Open Sans" w:cs="Open Sans"/>
                <w:sz w:val="22"/>
                <w:szCs w:val="22"/>
              </w:rPr>
            </w:pPr>
          </w:p>
          <w:p w14:paraId="06028BCB" w14:textId="4D6457B7" w:rsidR="00B3350C" w:rsidRPr="00BF7C7F" w:rsidRDefault="00410D65" w:rsidP="00B20E9B">
            <w:pPr>
              <w:spacing w:line="235" w:lineRule="auto"/>
              <w:ind w:right="1260"/>
              <w:rPr>
                <w:rFonts w:ascii="Open Sans" w:hAnsi="Open Sans" w:cs="Open Sans"/>
                <w:sz w:val="22"/>
                <w:szCs w:val="22"/>
              </w:rPr>
            </w:pPr>
            <w:r w:rsidRPr="00BF7C7F">
              <w:rPr>
                <w:rFonts w:ascii="Open Sans" w:eastAsia="Arial" w:hAnsi="Open Sans" w:cs="Open Sans"/>
                <w:sz w:val="22"/>
                <w:szCs w:val="22"/>
              </w:rPr>
              <w:t xml:space="preserve">Admission </w:t>
            </w:r>
            <w:r w:rsidR="006C014A" w:rsidRPr="00BF7C7F">
              <w:rPr>
                <w:rFonts w:ascii="Open Sans" w:eastAsia="Arial" w:hAnsi="Open Sans" w:cs="Open Sans"/>
                <w:sz w:val="22"/>
                <w:szCs w:val="22"/>
              </w:rPr>
              <w:t>into</w:t>
            </w:r>
            <w:r w:rsidRPr="00BF7C7F">
              <w:rPr>
                <w:rFonts w:ascii="Open Sans" w:eastAsia="Arial" w:hAnsi="Open Sans" w:cs="Open Sans"/>
                <w:sz w:val="22"/>
                <w:szCs w:val="22"/>
              </w:rPr>
              <w:t xml:space="preserve"> Evidence Court Cases Research Handout and Key Computers with Internet access</w:t>
            </w:r>
          </w:p>
        </w:tc>
      </w:tr>
      <w:tr w:rsidR="00B3350C" w:rsidRPr="00BF7C7F" w14:paraId="4B28B3C8" w14:textId="77777777" w:rsidTr="09D121B5">
        <w:trPr>
          <w:trHeight w:val="27"/>
        </w:trPr>
        <w:tc>
          <w:tcPr>
            <w:tcW w:w="2952" w:type="dxa"/>
            <w:shd w:val="clear" w:color="auto" w:fill="auto"/>
          </w:tcPr>
          <w:p w14:paraId="6A576075" w14:textId="77777777" w:rsidR="00B3350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Anticipatory Set</w:t>
            </w:r>
          </w:p>
          <w:p w14:paraId="2BCFDB36" w14:textId="734AFA54" w:rsidR="00870A95" w:rsidRPr="00BF7C7F" w:rsidRDefault="09D121B5" w:rsidP="09D121B5">
            <w:pPr>
              <w:jc w:val="center"/>
              <w:rPr>
                <w:rFonts w:ascii="Open Sans" w:hAnsi="Open Sans" w:cs="Open Sans"/>
                <w:sz w:val="22"/>
                <w:szCs w:val="22"/>
              </w:rPr>
            </w:pPr>
            <w:r w:rsidRPr="00BF7C7F">
              <w:rPr>
                <w:rFonts w:ascii="Open Sans" w:hAnsi="Open Sans" w:cs="Open Sans"/>
                <w:sz w:val="22"/>
                <w:szCs w:val="22"/>
              </w:rPr>
              <w:t>(May include pre-assessment for prior knowledge)</w:t>
            </w:r>
          </w:p>
        </w:tc>
        <w:tc>
          <w:tcPr>
            <w:tcW w:w="7848" w:type="dxa"/>
            <w:shd w:val="clear" w:color="auto" w:fill="auto"/>
          </w:tcPr>
          <w:p w14:paraId="0DCED89A" w14:textId="77777777" w:rsidR="00B3350C" w:rsidRPr="00BF7C7F" w:rsidRDefault="00410D65" w:rsidP="0058193B">
            <w:pPr>
              <w:spacing w:before="120" w:after="120"/>
              <w:rPr>
                <w:rFonts w:ascii="Open Sans" w:hAnsi="Open Sans" w:cs="Open Sans"/>
                <w:color w:val="333333"/>
                <w:sz w:val="22"/>
                <w:szCs w:val="22"/>
              </w:rPr>
            </w:pPr>
            <w:r w:rsidRPr="00BF7C7F">
              <w:rPr>
                <w:rFonts w:ascii="Open Sans" w:hAnsi="Open Sans" w:cs="Open Sans"/>
                <w:color w:val="333333"/>
                <w:sz w:val="22"/>
                <w:szCs w:val="22"/>
              </w:rPr>
              <w:t>Read and discuss the following article with the class</w:t>
            </w:r>
          </w:p>
          <w:p w14:paraId="2E28ACB7" w14:textId="77777777" w:rsidR="00410D65" w:rsidRPr="00BF7C7F" w:rsidRDefault="001D18B8" w:rsidP="0058193B">
            <w:pPr>
              <w:spacing w:before="120" w:after="120"/>
              <w:rPr>
                <w:rFonts w:ascii="Open Sans" w:eastAsia="Arial" w:hAnsi="Open Sans" w:cs="Open Sans"/>
                <w:color w:val="000000"/>
                <w:sz w:val="22"/>
                <w:szCs w:val="22"/>
              </w:rPr>
            </w:pPr>
            <w:hyperlink r:id="rId12">
              <w:r w:rsidR="00410D65" w:rsidRPr="00BF7C7F">
                <w:rPr>
                  <w:rFonts w:ascii="Open Sans" w:eastAsia="Arial" w:hAnsi="Open Sans" w:cs="Open Sans"/>
                  <w:color w:val="0000FF"/>
                  <w:sz w:val="22"/>
                  <w:szCs w:val="22"/>
                </w:rPr>
                <w:t>http://www.innocenceproject.org/understand/Eyewitness-Misidentification.php</w:t>
              </w:r>
            </w:hyperlink>
            <w:r w:rsidR="00410D65" w:rsidRPr="00BF7C7F">
              <w:rPr>
                <w:rFonts w:ascii="Open Sans" w:eastAsia="Arial" w:hAnsi="Open Sans" w:cs="Open Sans"/>
                <w:color w:val="000000"/>
                <w:sz w:val="22"/>
                <w:szCs w:val="22"/>
              </w:rPr>
              <w:t>.</w:t>
            </w:r>
          </w:p>
          <w:p w14:paraId="6019719E" w14:textId="6A466227" w:rsidR="00410D65" w:rsidRPr="00BF7C7F" w:rsidRDefault="00410D65" w:rsidP="0058193B">
            <w:pPr>
              <w:spacing w:before="120" w:after="120"/>
              <w:rPr>
                <w:rFonts w:ascii="Open Sans" w:hAnsi="Open Sans" w:cs="Open Sans"/>
                <w:color w:val="333333"/>
                <w:sz w:val="22"/>
                <w:szCs w:val="22"/>
              </w:rPr>
            </w:pPr>
            <w:r w:rsidRPr="00BF7C7F">
              <w:rPr>
                <w:rFonts w:ascii="Open Sans" w:eastAsia="Arial" w:hAnsi="Open Sans" w:cs="Open Sans"/>
                <w:sz w:val="22"/>
                <w:szCs w:val="22"/>
              </w:rPr>
              <w:t>Use the Discussion Rubric for assessment.</w:t>
            </w:r>
          </w:p>
        </w:tc>
      </w:tr>
      <w:tr w:rsidR="00B3350C" w:rsidRPr="00BF7C7F" w14:paraId="14C1CDAA" w14:textId="77777777" w:rsidTr="09D121B5">
        <w:trPr>
          <w:trHeight w:val="440"/>
        </w:trPr>
        <w:tc>
          <w:tcPr>
            <w:tcW w:w="2952" w:type="dxa"/>
            <w:shd w:val="clear" w:color="auto" w:fill="auto"/>
          </w:tcPr>
          <w:p w14:paraId="72711DBC" w14:textId="622EE681"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Direct Instruction *</w:t>
            </w:r>
          </w:p>
        </w:tc>
        <w:tc>
          <w:tcPr>
            <w:tcW w:w="7848" w:type="dxa"/>
            <w:shd w:val="clear" w:color="auto" w:fill="auto"/>
          </w:tcPr>
          <w:p w14:paraId="2B23CAFB" w14:textId="77777777" w:rsidR="006C014A" w:rsidRPr="006C014A" w:rsidRDefault="006C014A" w:rsidP="006C014A">
            <w:pPr>
              <w:pStyle w:val="ListParagraph"/>
              <w:numPr>
                <w:ilvl w:val="0"/>
                <w:numId w:val="8"/>
              </w:numPr>
              <w:tabs>
                <w:tab w:val="left" w:pos="800"/>
              </w:tabs>
              <w:jc w:val="both"/>
              <w:rPr>
                <w:rFonts w:ascii="Open Sans" w:eastAsia="Arial" w:hAnsi="Open Sans" w:cs="Arial"/>
                <w:bCs/>
                <w:sz w:val="22"/>
              </w:rPr>
            </w:pPr>
            <w:r w:rsidRPr="006C014A">
              <w:rPr>
                <w:rFonts w:ascii="Open Sans" w:eastAsia="Arial" w:hAnsi="Open Sans" w:cs="Arial"/>
                <w:bCs/>
                <w:sz w:val="22"/>
              </w:rPr>
              <w:t>Our Rights and Their Effect on Forensic Evidence – understanding the rights of United States citizens under the law (Bill of Rights) is vital when collecting, analyzing, and presenting evidence in the legal system</w:t>
            </w:r>
          </w:p>
          <w:p w14:paraId="172ECDDC" w14:textId="77777777" w:rsidR="006C014A" w:rsidRPr="006C014A" w:rsidRDefault="006C014A" w:rsidP="006C014A">
            <w:pPr>
              <w:pStyle w:val="ListParagraph"/>
              <w:tabs>
                <w:tab w:val="left" w:pos="800"/>
              </w:tabs>
              <w:ind w:left="360"/>
              <w:jc w:val="both"/>
              <w:rPr>
                <w:rFonts w:ascii="Open Sans" w:eastAsia="Arial" w:hAnsi="Open Sans" w:cs="Arial"/>
                <w:bCs/>
                <w:sz w:val="22"/>
              </w:rPr>
            </w:pPr>
          </w:p>
          <w:p w14:paraId="799C401E" w14:textId="77777777" w:rsidR="006C014A" w:rsidRPr="006C014A" w:rsidRDefault="006C014A" w:rsidP="006C014A">
            <w:pPr>
              <w:pStyle w:val="ListParagraph"/>
              <w:numPr>
                <w:ilvl w:val="0"/>
                <w:numId w:val="7"/>
              </w:numPr>
              <w:tabs>
                <w:tab w:val="left" w:pos="800"/>
              </w:tabs>
              <w:jc w:val="both"/>
              <w:rPr>
                <w:rFonts w:ascii="Open Sans" w:eastAsia="Arial" w:hAnsi="Open Sans" w:cs="Arial"/>
                <w:bCs/>
                <w:sz w:val="22"/>
              </w:rPr>
            </w:pPr>
            <w:r w:rsidRPr="006C014A">
              <w:rPr>
                <w:rFonts w:ascii="Open Sans" w:eastAsia="Arial" w:hAnsi="Open Sans" w:cs="Arial"/>
                <w:bCs/>
                <w:sz w:val="22"/>
              </w:rPr>
              <w:t>Evidence Collection – The Fourth Amendment</w:t>
            </w:r>
          </w:p>
          <w:p w14:paraId="7A54BEDF" w14:textId="77777777" w:rsidR="006C014A" w:rsidRPr="006C014A" w:rsidRDefault="006C014A" w:rsidP="006C014A">
            <w:pPr>
              <w:pStyle w:val="ListParagraph"/>
              <w:numPr>
                <w:ilvl w:val="0"/>
                <w:numId w:val="4"/>
              </w:numPr>
              <w:tabs>
                <w:tab w:val="left" w:pos="800"/>
              </w:tabs>
              <w:jc w:val="both"/>
              <w:rPr>
                <w:rFonts w:ascii="Open Sans" w:eastAsia="Arial" w:hAnsi="Open Sans" w:cs="Arial"/>
                <w:bCs/>
                <w:sz w:val="22"/>
              </w:rPr>
            </w:pPr>
            <w:r w:rsidRPr="006C014A">
              <w:rPr>
                <w:rFonts w:ascii="Open Sans" w:eastAsia="Arial" w:hAnsi="Open Sans" w:cs="Arial"/>
                <w:bCs/>
                <w:sz w:val="22"/>
              </w:rPr>
              <w:t>Right of Search and Seizure Regulated –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202B7A82" w14:textId="77777777" w:rsidR="006C014A" w:rsidRPr="006C014A" w:rsidRDefault="006C014A" w:rsidP="006C014A">
            <w:pPr>
              <w:pStyle w:val="ListParagraph"/>
              <w:numPr>
                <w:ilvl w:val="0"/>
                <w:numId w:val="4"/>
              </w:numPr>
              <w:tabs>
                <w:tab w:val="left" w:pos="800"/>
              </w:tabs>
              <w:jc w:val="both"/>
              <w:rPr>
                <w:rFonts w:ascii="Open Sans" w:eastAsia="Arial" w:hAnsi="Open Sans" w:cs="Arial"/>
                <w:bCs/>
                <w:sz w:val="22"/>
              </w:rPr>
            </w:pPr>
            <w:r w:rsidRPr="006C014A">
              <w:rPr>
                <w:rFonts w:ascii="Open Sans" w:eastAsia="Arial" w:hAnsi="Open Sans" w:cs="Arial"/>
                <w:bCs/>
                <w:sz w:val="22"/>
              </w:rPr>
              <w:t>Unlawful Search and Seizure</w:t>
            </w:r>
          </w:p>
          <w:p w14:paraId="3F078CB1" w14:textId="77777777" w:rsidR="006C014A" w:rsidRPr="006C014A" w:rsidRDefault="006C014A" w:rsidP="006C014A">
            <w:pPr>
              <w:pStyle w:val="ListParagraph"/>
              <w:numPr>
                <w:ilvl w:val="0"/>
                <w:numId w:val="5"/>
              </w:numPr>
              <w:tabs>
                <w:tab w:val="left" w:pos="800"/>
              </w:tabs>
              <w:jc w:val="both"/>
              <w:rPr>
                <w:rFonts w:ascii="Open Sans" w:eastAsia="Arial" w:hAnsi="Open Sans" w:cs="Arial"/>
                <w:bCs/>
                <w:sz w:val="22"/>
              </w:rPr>
            </w:pPr>
            <w:r w:rsidRPr="006C014A">
              <w:rPr>
                <w:rFonts w:ascii="Open Sans" w:eastAsia="Arial" w:hAnsi="Open Sans" w:cs="Arial"/>
                <w:bCs/>
                <w:sz w:val="22"/>
              </w:rPr>
              <w:t>When the court says an individual’s rights were violated, any evidence derived from the search and seizure will be kept out of the criminal case, if the case is against the person whose rights were violated</w:t>
            </w:r>
          </w:p>
          <w:p w14:paraId="1FAD365F" w14:textId="77777777" w:rsidR="006C014A" w:rsidRPr="006C014A" w:rsidRDefault="006C014A" w:rsidP="006C014A">
            <w:pPr>
              <w:pStyle w:val="ListParagraph"/>
              <w:numPr>
                <w:ilvl w:val="0"/>
                <w:numId w:val="5"/>
              </w:numPr>
              <w:tabs>
                <w:tab w:val="left" w:pos="800"/>
              </w:tabs>
              <w:jc w:val="both"/>
              <w:rPr>
                <w:rFonts w:ascii="Open Sans" w:eastAsia="Arial" w:hAnsi="Open Sans" w:cs="Arial"/>
                <w:bCs/>
                <w:sz w:val="22"/>
              </w:rPr>
            </w:pPr>
            <w:r w:rsidRPr="006C014A">
              <w:rPr>
                <w:rFonts w:ascii="Open Sans" w:eastAsia="Arial" w:hAnsi="Open Sans" w:cs="Arial"/>
                <w:bCs/>
                <w:sz w:val="22"/>
              </w:rPr>
              <w:t>It is very important that evidence is collected lawfully, without an evasion of privacy or with a search warrant, so it will not be ruled inadmissible in court</w:t>
            </w:r>
          </w:p>
          <w:p w14:paraId="530BACB5" w14:textId="77777777" w:rsidR="006C014A" w:rsidRPr="006C014A" w:rsidRDefault="006C014A" w:rsidP="006C014A">
            <w:pPr>
              <w:pStyle w:val="ListParagraph"/>
              <w:numPr>
                <w:ilvl w:val="0"/>
                <w:numId w:val="6"/>
              </w:numPr>
              <w:tabs>
                <w:tab w:val="left" w:pos="800"/>
              </w:tabs>
              <w:jc w:val="both"/>
              <w:rPr>
                <w:rFonts w:ascii="Open Sans" w:eastAsia="Arial" w:hAnsi="Open Sans" w:cs="Arial"/>
                <w:bCs/>
                <w:sz w:val="22"/>
              </w:rPr>
            </w:pPr>
            <w:r w:rsidRPr="006C014A">
              <w:rPr>
                <w:rFonts w:ascii="Open Sans" w:eastAsia="Arial" w:hAnsi="Open Sans" w:cs="Arial"/>
                <w:bCs/>
                <w:sz w:val="22"/>
              </w:rPr>
              <w:t>Searching – Was There an Invasion of Privacy? The court will ask two things (if either of these answers is no, then any evidence collected can be admissible in court)</w:t>
            </w:r>
          </w:p>
          <w:p w14:paraId="01ED7F90"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Did the owner of the home or property that was investigated or searched expect a “degree of privacy”?</w:t>
            </w:r>
          </w:p>
          <w:p w14:paraId="0F4368B2"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Was this expectation of privacy reasonable and legitimate?</w:t>
            </w:r>
          </w:p>
          <w:p w14:paraId="28141CAE" w14:textId="1D399653" w:rsidR="006C014A" w:rsidRPr="006C014A" w:rsidRDefault="006C014A" w:rsidP="006C014A">
            <w:pPr>
              <w:pStyle w:val="ListParagraph"/>
              <w:numPr>
                <w:ilvl w:val="0"/>
                <w:numId w:val="6"/>
              </w:numPr>
              <w:tabs>
                <w:tab w:val="left" w:pos="800"/>
              </w:tabs>
              <w:jc w:val="both"/>
              <w:rPr>
                <w:rFonts w:ascii="Open Sans" w:eastAsia="Arial" w:hAnsi="Open Sans" w:cs="Arial"/>
                <w:bCs/>
                <w:sz w:val="22"/>
              </w:rPr>
            </w:pPr>
            <w:r w:rsidRPr="006C014A">
              <w:rPr>
                <w:rFonts w:ascii="Open Sans" w:eastAsia="Arial" w:hAnsi="Open Sans" w:cs="Arial"/>
                <w:bCs/>
                <w:sz w:val="22"/>
              </w:rPr>
              <w:t xml:space="preserve">Search Warrant – a judicial order that authorizes the law enforcement agencies to conduct a search of a location/person and to seize any evidence of a criminal offense. To issue a search warrant police </w:t>
            </w:r>
            <w:r w:rsidR="00392787" w:rsidRPr="006C014A">
              <w:rPr>
                <w:rFonts w:ascii="Open Sans" w:eastAsia="Arial" w:hAnsi="Open Sans" w:cs="Arial"/>
                <w:bCs/>
                <w:sz w:val="22"/>
              </w:rPr>
              <w:t>must</w:t>
            </w:r>
            <w:r w:rsidRPr="006C014A">
              <w:rPr>
                <w:rFonts w:ascii="Open Sans" w:eastAsia="Arial" w:hAnsi="Open Sans" w:cs="Arial"/>
                <w:bCs/>
                <w:sz w:val="22"/>
              </w:rPr>
              <w:t xml:space="preserve"> show the judge that</w:t>
            </w:r>
          </w:p>
          <w:p w14:paraId="269D098B"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Probable cause exists that a crime has occurred</w:t>
            </w:r>
          </w:p>
          <w:p w14:paraId="7183D42A"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Evidence or contraband linked to the crime will probably be found on a certain location on the property or person at issue</w:t>
            </w:r>
          </w:p>
          <w:p w14:paraId="696F31B6" w14:textId="77777777" w:rsidR="006C014A" w:rsidRPr="006C014A" w:rsidRDefault="006C014A" w:rsidP="006C014A">
            <w:pPr>
              <w:pStyle w:val="ListParagraph"/>
              <w:numPr>
                <w:ilvl w:val="0"/>
                <w:numId w:val="6"/>
              </w:numPr>
              <w:tabs>
                <w:tab w:val="left" w:pos="800"/>
              </w:tabs>
              <w:jc w:val="both"/>
              <w:rPr>
                <w:rFonts w:ascii="Open Sans" w:eastAsia="Arial" w:hAnsi="Open Sans" w:cs="Arial"/>
                <w:bCs/>
                <w:sz w:val="22"/>
              </w:rPr>
            </w:pPr>
            <w:r w:rsidRPr="006C014A">
              <w:rPr>
                <w:rFonts w:ascii="Open Sans" w:eastAsia="Arial" w:hAnsi="Open Sans" w:cs="Arial"/>
                <w:bCs/>
                <w:sz w:val="22"/>
              </w:rPr>
              <w:t>Search Warrant Not Needed</w:t>
            </w:r>
          </w:p>
          <w:p w14:paraId="69D30707"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Consent is given for the search (no warrant is needed, even in the future, once consent is given)</w:t>
            </w:r>
          </w:p>
          <w:p w14:paraId="5FC197AB"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Emergency – someone is in danger, or there might be destruction of evidence</w:t>
            </w:r>
          </w:p>
          <w:p w14:paraId="20E46C31" w14:textId="77777777" w:rsidR="006C014A" w:rsidRP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After an arrest – an officer can search the person and immediate surroundings</w:t>
            </w:r>
          </w:p>
          <w:p w14:paraId="76174AF2" w14:textId="722FD0E8" w:rsidR="006C014A" w:rsidRDefault="006C014A" w:rsidP="006C014A">
            <w:pPr>
              <w:pStyle w:val="ListParagraph"/>
              <w:numPr>
                <w:ilvl w:val="1"/>
                <w:numId w:val="6"/>
              </w:numPr>
              <w:tabs>
                <w:tab w:val="left" w:pos="800"/>
              </w:tabs>
              <w:jc w:val="both"/>
              <w:rPr>
                <w:rFonts w:ascii="Open Sans" w:eastAsia="Arial" w:hAnsi="Open Sans" w:cs="Arial"/>
                <w:bCs/>
                <w:sz w:val="22"/>
              </w:rPr>
            </w:pPr>
            <w:r w:rsidRPr="006C014A">
              <w:rPr>
                <w:rFonts w:ascii="Open Sans" w:eastAsia="Arial" w:hAnsi="Open Sans" w:cs="Arial"/>
                <w:bCs/>
                <w:sz w:val="22"/>
              </w:rPr>
              <w:t>Plain view – if the police are there legally and evidence is in plain view</w:t>
            </w:r>
          </w:p>
          <w:p w14:paraId="7486012B" w14:textId="77777777" w:rsidR="006C014A" w:rsidRPr="006C014A" w:rsidRDefault="006C014A" w:rsidP="006C014A">
            <w:pPr>
              <w:pStyle w:val="ListParagraph"/>
              <w:numPr>
                <w:ilvl w:val="1"/>
                <w:numId w:val="6"/>
              </w:numPr>
              <w:rPr>
                <w:rFonts w:ascii="Open Sans" w:eastAsia="Arial" w:hAnsi="Open Sans" w:cs="Arial"/>
                <w:bCs/>
                <w:sz w:val="22"/>
              </w:rPr>
            </w:pPr>
            <w:r w:rsidRPr="006C014A">
              <w:rPr>
                <w:rFonts w:ascii="Open Sans" w:eastAsia="Arial" w:hAnsi="Open Sans" w:cs="Arial"/>
                <w:bCs/>
                <w:sz w:val="22"/>
              </w:rPr>
              <w:t>Reasonable suspicion – if police believe they will find a weapon or drugs on a person or in a car, they can legally search</w:t>
            </w:r>
          </w:p>
          <w:p w14:paraId="53E7CC93" w14:textId="77777777" w:rsidR="006C014A" w:rsidRPr="006C014A" w:rsidRDefault="006C014A" w:rsidP="006C014A">
            <w:pPr>
              <w:pStyle w:val="ListParagraph"/>
              <w:ind w:left="2160"/>
              <w:rPr>
                <w:rFonts w:ascii="Open Sans" w:eastAsia="Arial" w:hAnsi="Open Sans" w:cs="Arial"/>
                <w:bCs/>
                <w:sz w:val="22"/>
              </w:rPr>
            </w:pPr>
          </w:p>
          <w:p w14:paraId="7EA00A46" w14:textId="77777777" w:rsidR="006C014A" w:rsidRPr="006C014A" w:rsidRDefault="006C014A" w:rsidP="006C014A">
            <w:pPr>
              <w:pStyle w:val="ListParagraph"/>
              <w:numPr>
                <w:ilvl w:val="0"/>
                <w:numId w:val="7"/>
              </w:numPr>
              <w:rPr>
                <w:rFonts w:ascii="Open Sans" w:eastAsia="Arial" w:hAnsi="Open Sans" w:cs="Arial"/>
                <w:bCs/>
                <w:sz w:val="22"/>
              </w:rPr>
            </w:pPr>
            <w:r w:rsidRPr="006C014A">
              <w:rPr>
                <w:rFonts w:ascii="Open Sans" w:eastAsia="Arial" w:hAnsi="Open Sans" w:cs="Arial"/>
                <w:bCs/>
                <w:sz w:val="22"/>
              </w:rPr>
              <w:t>Regulations for the Prosecution – Fifth Amendment: “No person shall be held to answer for a capital, or otherwise infamous crime, unless on an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5CB72EB1" w14:textId="77777777" w:rsidR="006C014A" w:rsidRPr="006C014A" w:rsidRDefault="006C014A" w:rsidP="006C014A">
            <w:pPr>
              <w:pStyle w:val="ListParagraph"/>
              <w:numPr>
                <w:ilvl w:val="0"/>
                <w:numId w:val="9"/>
              </w:numPr>
              <w:rPr>
                <w:rFonts w:ascii="Open Sans" w:eastAsia="Arial" w:hAnsi="Open Sans" w:cs="Arial"/>
                <w:bCs/>
                <w:sz w:val="22"/>
              </w:rPr>
            </w:pPr>
            <w:r w:rsidRPr="006C014A">
              <w:rPr>
                <w:rFonts w:ascii="Open Sans" w:eastAsia="Arial" w:hAnsi="Open Sans" w:cs="Arial"/>
                <w:bCs/>
                <w:sz w:val="22"/>
              </w:rPr>
              <w:t>Difficult/Publicized /Capitol Cases</w:t>
            </w:r>
          </w:p>
          <w:p w14:paraId="7A872187" w14:textId="77777777" w:rsidR="006C014A" w:rsidRPr="006C014A" w:rsidRDefault="006C014A" w:rsidP="006C014A">
            <w:pPr>
              <w:pStyle w:val="ListParagraph"/>
              <w:numPr>
                <w:ilvl w:val="0"/>
                <w:numId w:val="10"/>
              </w:numPr>
              <w:rPr>
                <w:rFonts w:ascii="Open Sans" w:eastAsia="Arial" w:hAnsi="Open Sans" w:cs="Arial"/>
                <w:bCs/>
                <w:sz w:val="22"/>
              </w:rPr>
            </w:pPr>
            <w:r w:rsidRPr="006C014A">
              <w:rPr>
                <w:rFonts w:ascii="Open Sans" w:eastAsia="Arial" w:hAnsi="Open Sans" w:cs="Arial"/>
                <w:bCs/>
                <w:sz w:val="22"/>
              </w:rPr>
              <w:t>In many states, a grand jury (16 – 24 citizens) meets to decide if there is enough evidence before a citizen can even be indicted for a crime</w:t>
            </w:r>
          </w:p>
          <w:p w14:paraId="2D1E2118" w14:textId="77777777" w:rsidR="006C014A" w:rsidRPr="006C014A" w:rsidRDefault="006C014A" w:rsidP="006C014A">
            <w:pPr>
              <w:pStyle w:val="ListParagraph"/>
              <w:numPr>
                <w:ilvl w:val="0"/>
                <w:numId w:val="10"/>
              </w:numPr>
              <w:rPr>
                <w:rFonts w:ascii="Open Sans" w:eastAsia="Arial" w:hAnsi="Open Sans" w:cs="Arial"/>
                <w:bCs/>
                <w:sz w:val="22"/>
              </w:rPr>
            </w:pPr>
            <w:r w:rsidRPr="006C014A">
              <w:rPr>
                <w:rFonts w:ascii="Open Sans" w:eastAsia="Arial" w:hAnsi="Open Sans" w:cs="Arial"/>
                <w:bCs/>
                <w:sz w:val="22"/>
              </w:rPr>
              <w:t>The grand jury is an “arm” of the prosecutor office, the defense does not even present at a grand jury</w:t>
            </w:r>
          </w:p>
          <w:p w14:paraId="77E862AB" w14:textId="77777777" w:rsidR="006C014A" w:rsidRPr="006C014A" w:rsidRDefault="006C014A" w:rsidP="006C014A">
            <w:pPr>
              <w:pStyle w:val="ListParagraph"/>
              <w:numPr>
                <w:ilvl w:val="0"/>
                <w:numId w:val="9"/>
              </w:numPr>
              <w:rPr>
                <w:rFonts w:ascii="Open Sans" w:eastAsia="Arial" w:hAnsi="Open Sans" w:cs="Arial"/>
                <w:bCs/>
                <w:sz w:val="22"/>
              </w:rPr>
            </w:pPr>
            <w:r w:rsidRPr="006C014A">
              <w:rPr>
                <w:rFonts w:ascii="Open Sans" w:eastAsia="Arial" w:hAnsi="Open Sans" w:cs="Arial"/>
                <w:bCs/>
                <w:sz w:val="22"/>
              </w:rPr>
              <w:t>Double Jeopardy</w:t>
            </w:r>
          </w:p>
          <w:p w14:paraId="291E28DE" w14:textId="77777777" w:rsidR="006C014A" w:rsidRPr="006C014A" w:rsidRDefault="006C014A" w:rsidP="006C014A">
            <w:pPr>
              <w:pStyle w:val="ListParagraph"/>
              <w:numPr>
                <w:ilvl w:val="0"/>
                <w:numId w:val="11"/>
              </w:numPr>
              <w:rPr>
                <w:rFonts w:ascii="Open Sans" w:eastAsia="Arial" w:hAnsi="Open Sans" w:cs="Arial"/>
                <w:bCs/>
                <w:sz w:val="22"/>
              </w:rPr>
            </w:pPr>
            <w:r w:rsidRPr="006C014A">
              <w:rPr>
                <w:rFonts w:ascii="Open Sans" w:eastAsia="Arial" w:hAnsi="Open Sans" w:cs="Arial"/>
                <w:bCs/>
                <w:sz w:val="22"/>
              </w:rPr>
              <w:t>It is imperative that every bit of evidence be found in the case before it is brought to trial</w:t>
            </w:r>
          </w:p>
          <w:p w14:paraId="0512921C" w14:textId="77777777" w:rsidR="006C014A" w:rsidRPr="006C014A" w:rsidRDefault="006C014A" w:rsidP="006C014A">
            <w:pPr>
              <w:pStyle w:val="ListParagraph"/>
              <w:numPr>
                <w:ilvl w:val="0"/>
                <w:numId w:val="11"/>
              </w:numPr>
              <w:rPr>
                <w:rFonts w:ascii="Open Sans" w:eastAsia="Arial" w:hAnsi="Open Sans" w:cs="Arial"/>
                <w:bCs/>
                <w:sz w:val="22"/>
              </w:rPr>
            </w:pPr>
            <w:r w:rsidRPr="006C014A">
              <w:rPr>
                <w:rFonts w:ascii="Open Sans" w:eastAsia="Arial" w:hAnsi="Open Sans" w:cs="Arial"/>
                <w:bCs/>
                <w:sz w:val="22"/>
              </w:rPr>
              <w:t>If a person is found innocent of a crime and more evidence is discovered after the trial, the person cannot be put on trial again for that same crime</w:t>
            </w:r>
          </w:p>
          <w:p w14:paraId="347BFE42" w14:textId="77777777" w:rsidR="006C014A" w:rsidRPr="006C014A" w:rsidRDefault="006C014A" w:rsidP="006C014A">
            <w:pPr>
              <w:pStyle w:val="ListParagraph"/>
              <w:numPr>
                <w:ilvl w:val="0"/>
                <w:numId w:val="9"/>
              </w:numPr>
              <w:rPr>
                <w:rFonts w:ascii="Open Sans" w:eastAsia="Arial" w:hAnsi="Open Sans" w:cs="Arial"/>
                <w:bCs/>
                <w:sz w:val="22"/>
              </w:rPr>
            </w:pPr>
            <w:r w:rsidRPr="006C014A">
              <w:rPr>
                <w:rFonts w:ascii="Open Sans" w:eastAsia="Arial" w:hAnsi="Open Sans" w:cs="Arial"/>
                <w:bCs/>
                <w:sz w:val="22"/>
              </w:rPr>
              <w:t>Due Process – everyone is treated the same</w:t>
            </w:r>
          </w:p>
          <w:p w14:paraId="13D60BC3" w14:textId="77777777" w:rsidR="006C014A" w:rsidRPr="006C014A" w:rsidRDefault="006C014A" w:rsidP="006C014A">
            <w:pPr>
              <w:pStyle w:val="ListParagraph"/>
              <w:numPr>
                <w:ilvl w:val="0"/>
                <w:numId w:val="9"/>
              </w:numPr>
              <w:rPr>
                <w:rFonts w:ascii="Open Sans" w:eastAsia="Arial" w:hAnsi="Open Sans" w:cs="Arial"/>
                <w:bCs/>
                <w:sz w:val="22"/>
              </w:rPr>
            </w:pPr>
            <w:r w:rsidRPr="006C014A">
              <w:rPr>
                <w:rFonts w:ascii="Open Sans" w:eastAsia="Arial" w:hAnsi="Open Sans" w:cs="Arial"/>
                <w:bCs/>
                <w:sz w:val="22"/>
              </w:rPr>
              <w:t>Plea Bargaining – even with all the hard work and effort put forth by law enforcement officials toward criminal cases, up to 90% of all cases are plea bargained and never go to trial (Deslich, 2006)</w:t>
            </w:r>
          </w:p>
          <w:p w14:paraId="158DECE4" w14:textId="77777777" w:rsidR="006C014A" w:rsidRPr="006C014A" w:rsidRDefault="006C014A" w:rsidP="006C014A">
            <w:pPr>
              <w:pStyle w:val="ListParagraph"/>
              <w:ind w:left="2160"/>
              <w:rPr>
                <w:rFonts w:ascii="Open Sans" w:eastAsia="Arial" w:hAnsi="Open Sans" w:cs="Arial"/>
                <w:bCs/>
                <w:sz w:val="22"/>
              </w:rPr>
            </w:pPr>
          </w:p>
          <w:p w14:paraId="00C5B163" w14:textId="77777777" w:rsidR="006C014A" w:rsidRPr="006C014A" w:rsidRDefault="006C014A" w:rsidP="006C014A">
            <w:pPr>
              <w:pStyle w:val="ListParagraph"/>
              <w:numPr>
                <w:ilvl w:val="0"/>
                <w:numId w:val="7"/>
              </w:numPr>
              <w:rPr>
                <w:rFonts w:ascii="Open Sans" w:eastAsia="Arial" w:hAnsi="Open Sans" w:cs="Arial"/>
                <w:bCs/>
                <w:sz w:val="22"/>
              </w:rPr>
            </w:pPr>
            <w:r w:rsidRPr="006C014A">
              <w:rPr>
                <w:rFonts w:ascii="Open Sans" w:eastAsia="Arial" w:hAnsi="Open Sans" w:cs="Arial"/>
                <w:bCs/>
                <w:sz w:val="22"/>
              </w:rPr>
              <w:t>Trial Policies – Sixth and Seventh Amendment</w:t>
            </w:r>
          </w:p>
          <w:p w14:paraId="3B32CC2D" w14:textId="77777777" w:rsidR="006C014A" w:rsidRPr="006C014A" w:rsidRDefault="006C014A" w:rsidP="006C014A">
            <w:pPr>
              <w:pStyle w:val="ListParagraph"/>
              <w:numPr>
                <w:ilvl w:val="0"/>
                <w:numId w:val="12"/>
              </w:numPr>
              <w:rPr>
                <w:rFonts w:ascii="Open Sans" w:eastAsia="Arial" w:hAnsi="Open Sans" w:cs="Arial"/>
                <w:bCs/>
                <w:sz w:val="22"/>
              </w:rPr>
            </w:pPr>
            <w:r w:rsidRPr="006C014A">
              <w:rPr>
                <w:rFonts w:ascii="Open Sans" w:eastAsia="Arial" w:hAnsi="Open Sans" w:cs="Arial"/>
                <w:bCs/>
                <w:sz w:val="22"/>
              </w:rPr>
              <w:t>Sixth Amendment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26CFB071" w14:textId="77777777" w:rsidR="006C014A" w:rsidRPr="006C014A" w:rsidRDefault="006C014A" w:rsidP="006C014A">
            <w:pPr>
              <w:pStyle w:val="ListParagraph"/>
              <w:numPr>
                <w:ilvl w:val="0"/>
                <w:numId w:val="12"/>
              </w:numPr>
              <w:rPr>
                <w:rFonts w:ascii="Open Sans" w:eastAsia="Arial" w:hAnsi="Open Sans" w:cs="Arial"/>
                <w:bCs/>
                <w:sz w:val="22"/>
              </w:rPr>
            </w:pPr>
            <w:r w:rsidRPr="006C014A">
              <w:rPr>
                <w:rFonts w:ascii="Open Sans" w:eastAsia="Arial" w:hAnsi="Open Sans" w:cs="Arial"/>
                <w:bCs/>
                <w:sz w:val="22"/>
              </w:rPr>
              <w:t>Speedy Trial</w:t>
            </w:r>
          </w:p>
          <w:p w14:paraId="08B0B90B" w14:textId="77777777" w:rsidR="006C014A" w:rsidRPr="006C014A" w:rsidRDefault="006C014A" w:rsidP="006C014A">
            <w:pPr>
              <w:pStyle w:val="ListParagraph"/>
              <w:numPr>
                <w:ilvl w:val="0"/>
                <w:numId w:val="13"/>
              </w:numPr>
              <w:rPr>
                <w:rFonts w:ascii="Open Sans" w:eastAsia="Arial" w:hAnsi="Open Sans" w:cs="Arial"/>
                <w:bCs/>
                <w:sz w:val="22"/>
              </w:rPr>
            </w:pPr>
            <w:r w:rsidRPr="006C014A">
              <w:rPr>
                <w:rFonts w:ascii="Open Sans" w:eastAsia="Arial" w:hAnsi="Open Sans" w:cs="Arial"/>
                <w:bCs/>
                <w:sz w:val="22"/>
              </w:rPr>
              <w:t>Depends on state statute, but generally 90 – 120 days for an imprisoned defendant, unless waived by the individual</w:t>
            </w:r>
          </w:p>
          <w:p w14:paraId="7EB7943D" w14:textId="77777777" w:rsidR="006C014A" w:rsidRPr="006C014A" w:rsidRDefault="006C014A" w:rsidP="006C014A">
            <w:pPr>
              <w:pStyle w:val="ListParagraph"/>
              <w:numPr>
                <w:ilvl w:val="0"/>
                <w:numId w:val="13"/>
              </w:numPr>
              <w:rPr>
                <w:rFonts w:ascii="Open Sans" w:eastAsia="Arial" w:hAnsi="Open Sans" w:cs="Arial"/>
                <w:bCs/>
                <w:sz w:val="22"/>
              </w:rPr>
            </w:pPr>
            <w:r w:rsidRPr="006C014A">
              <w:rPr>
                <w:rFonts w:ascii="Open Sans" w:eastAsia="Arial" w:hAnsi="Open Sans" w:cs="Arial"/>
                <w:bCs/>
                <w:sz w:val="22"/>
              </w:rPr>
              <w:t>The following slow the process:</w:t>
            </w:r>
          </w:p>
          <w:p w14:paraId="63BEDFAB" w14:textId="77777777" w:rsidR="006C014A" w:rsidRPr="006C014A" w:rsidRDefault="006C014A" w:rsidP="006C014A">
            <w:pPr>
              <w:pStyle w:val="ListParagraph"/>
              <w:numPr>
                <w:ilvl w:val="0"/>
                <w:numId w:val="14"/>
              </w:numPr>
              <w:rPr>
                <w:rFonts w:ascii="Open Sans" w:eastAsia="Arial" w:hAnsi="Open Sans" w:cs="Arial"/>
                <w:bCs/>
                <w:sz w:val="22"/>
              </w:rPr>
            </w:pPr>
            <w:r w:rsidRPr="006C014A">
              <w:rPr>
                <w:rFonts w:ascii="Open Sans" w:eastAsia="Arial" w:hAnsi="Open Sans" w:cs="Arial"/>
                <w:bCs/>
                <w:sz w:val="22"/>
              </w:rPr>
              <w:t>The defendant is out on bail</w:t>
            </w:r>
          </w:p>
          <w:p w14:paraId="2C979889" w14:textId="77777777" w:rsidR="006C014A" w:rsidRPr="006C014A" w:rsidRDefault="006C014A" w:rsidP="006C014A">
            <w:pPr>
              <w:pStyle w:val="ListParagraph"/>
              <w:numPr>
                <w:ilvl w:val="0"/>
                <w:numId w:val="14"/>
              </w:numPr>
              <w:rPr>
                <w:rFonts w:ascii="Open Sans" w:eastAsia="Arial" w:hAnsi="Open Sans" w:cs="Arial"/>
                <w:bCs/>
                <w:sz w:val="22"/>
              </w:rPr>
            </w:pPr>
            <w:r w:rsidRPr="006C014A">
              <w:rPr>
                <w:rFonts w:ascii="Open Sans" w:eastAsia="Arial" w:hAnsi="Open Sans" w:cs="Arial"/>
                <w:bCs/>
                <w:sz w:val="22"/>
              </w:rPr>
              <w:t>Motions</w:t>
            </w:r>
          </w:p>
          <w:p w14:paraId="4EC38B72" w14:textId="77777777" w:rsidR="006C014A" w:rsidRPr="006C014A" w:rsidRDefault="006C014A" w:rsidP="006C014A">
            <w:pPr>
              <w:pStyle w:val="ListParagraph"/>
              <w:numPr>
                <w:ilvl w:val="0"/>
                <w:numId w:val="14"/>
              </w:numPr>
              <w:rPr>
                <w:rFonts w:ascii="Open Sans" w:eastAsia="Arial" w:hAnsi="Open Sans" w:cs="Arial"/>
                <w:bCs/>
                <w:sz w:val="22"/>
              </w:rPr>
            </w:pPr>
            <w:r w:rsidRPr="006C014A">
              <w:rPr>
                <w:rFonts w:ascii="Open Sans" w:eastAsia="Arial" w:hAnsi="Open Sans" w:cs="Arial"/>
                <w:bCs/>
                <w:sz w:val="22"/>
              </w:rPr>
              <w:t>Illness</w:t>
            </w:r>
          </w:p>
          <w:p w14:paraId="15C57594" w14:textId="77777777" w:rsidR="006C014A" w:rsidRPr="006C014A" w:rsidRDefault="006C014A" w:rsidP="006C014A">
            <w:pPr>
              <w:pStyle w:val="ListParagraph"/>
              <w:numPr>
                <w:ilvl w:val="0"/>
                <w:numId w:val="14"/>
              </w:numPr>
              <w:rPr>
                <w:rFonts w:ascii="Open Sans" w:eastAsia="Arial" w:hAnsi="Open Sans" w:cs="Arial"/>
                <w:bCs/>
                <w:sz w:val="22"/>
              </w:rPr>
            </w:pPr>
            <w:r w:rsidRPr="006C014A">
              <w:rPr>
                <w:rFonts w:ascii="Open Sans" w:eastAsia="Arial" w:hAnsi="Open Sans" w:cs="Arial"/>
                <w:bCs/>
                <w:sz w:val="22"/>
              </w:rPr>
              <w:t>Lack of attorney(s)</w:t>
            </w:r>
          </w:p>
          <w:p w14:paraId="533C75DF" w14:textId="77777777" w:rsidR="006C014A" w:rsidRPr="006C014A" w:rsidRDefault="006C014A" w:rsidP="006C014A">
            <w:pPr>
              <w:pStyle w:val="ListParagraph"/>
              <w:numPr>
                <w:ilvl w:val="0"/>
                <w:numId w:val="13"/>
              </w:numPr>
              <w:rPr>
                <w:rFonts w:ascii="Open Sans" w:eastAsia="Arial" w:hAnsi="Open Sans" w:cs="Arial"/>
                <w:bCs/>
                <w:sz w:val="22"/>
              </w:rPr>
            </w:pPr>
            <w:r w:rsidRPr="006C014A">
              <w:rPr>
                <w:rFonts w:ascii="Open Sans" w:eastAsia="Arial" w:hAnsi="Open Sans" w:cs="Arial"/>
                <w:bCs/>
                <w:sz w:val="22"/>
              </w:rPr>
              <w:t xml:space="preserve">The defendant can ask for a speedier trial; for law enforcement this is mixed news. </w:t>
            </w:r>
          </w:p>
          <w:p w14:paraId="5182D450" w14:textId="578F1AAA" w:rsidR="006C014A" w:rsidRPr="006C014A" w:rsidRDefault="006C014A" w:rsidP="006C014A">
            <w:pPr>
              <w:pStyle w:val="ListParagraph"/>
              <w:numPr>
                <w:ilvl w:val="0"/>
                <w:numId w:val="15"/>
              </w:numPr>
              <w:rPr>
                <w:rFonts w:ascii="Open Sans" w:eastAsia="Arial" w:hAnsi="Open Sans" w:cs="Arial"/>
                <w:bCs/>
                <w:sz w:val="22"/>
              </w:rPr>
            </w:pPr>
            <w:r w:rsidRPr="006C014A">
              <w:rPr>
                <w:rFonts w:ascii="Open Sans" w:eastAsia="Arial" w:hAnsi="Open Sans" w:cs="Arial"/>
                <w:bCs/>
                <w:sz w:val="22"/>
              </w:rPr>
              <w:t xml:space="preserve">Speedy trial rules make it imperative to find </w:t>
            </w:r>
            <w:r w:rsidR="00392787" w:rsidRPr="006C014A">
              <w:rPr>
                <w:rFonts w:ascii="Open Sans" w:eastAsia="Arial" w:hAnsi="Open Sans" w:cs="Arial"/>
                <w:bCs/>
                <w:sz w:val="22"/>
              </w:rPr>
              <w:t>all</w:t>
            </w:r>
            <w:r w:rsidRPr="006C014A">
              <w:rPr>
                <w:rFonts w:ascii="Open Sans" w:eastAsia="Arial" w:hAnsi="Open Sans" w:cs="Arial"/>
                <w:bCs/>
                <w:sz w:val="22"/>
              </w:rPr>
              <w:t xml:space="preserve"> the evidence as soon as possible</w:t>
            </w:r>
          </w:p>
          <w:p w14:paraId="2317D4E9" w14:textId="579FE920" w:rsidR="006C014A" w:rsidRPr="006C014A" w:rsidRDefault="006C014A" w:rsidP="006C014A">
            <w:pPr>
              <w:pStyle w:val="ListParagraph"/>
              <w:numPr>
                <w:ilvl w:val="0"/>
                <w:numId w:val="15"/>
              </w:numPr>
              <w:rPr>
                <w:rFonts w:ascii="Open Sans" w:eastAsia="Arial" w:hAnsi="Open Sans" w:cs="Arial"/>
                <w:bCs/>
                <w:sz w:val="22"/>
              </w:rPr>
            </w:pPr>
            <w:r w:rsidRPr="006C014A">
              <w:rPr>
                <w:rFonts w:ascii="Open Sans" w:eastAsia="Arial" w:hAnsi="Open Sans" w:cs="Arial"/>
                <w:bCs/>
                <w:sz w:val="22"/>
              </w:rPr>
              <w:t xml:space="preserve">Delays might be beneficial to law enforcement because they lengthen the evidence collection and analysis </w:t>
            </w:r>
            <w:r w:rsidR="00392787" w:rsidRPr="006C014A">
              <w:rPr>
                <w:rFonts w:ascii="Open Sans" w:eastAsia="Arial" w:hAnsi="Open Sans" w:cs="Arial"/>
                <w:bCs/>
                <w:sz w:val="22"/>
              </w:rPr>
              <w:t>time</w:t>
            </w:r>
          </w:p>
          <w:p w14:paraId="644FABEF" w14:textId="77777777" w:rsidR="006C014A" w:rsidRPr="006C014A" w:rsidRDefault="006C014A" w:rsidP="006C014A">
            <w:pPr>
              <w:pStyle w:val="ListParagraph"/>
              <w:numPr>
                <w:ilvl w:val="0"/>
                <w:numId w:val="12"/>
              </w:numPr>
              <w:rPr>
                <w:rFonts w:ascii="Open Sans" w:eastAsia="Arial" w:hAnsi="Open Sans" w:cs="Arial"/>
                <w:bCs/>
                <w:sz w:val="22"/>
              </w:rPr>
            </w:pPr>
            <w:r w:rsidRPr="006C014A">
              <w:rPr>
                <w:rFonts w:ascii="Open Sans" w:eastAsia="Arial" w:hAnsi="Open Sans" w:cs="Arial"/>
                <w:bCs/>
                <w:sz w:val="22"/>
              </w:rPr>
              <w:t>Witnesses – any witness for the defense or the prosecution can be subpoenaed to appear in court</w:t>
            </w:r>
          </w:p>
          <w:p w14:paraId="5F83DFFE" w14:textId="77777777" w:rsidR="006C014A" w:rsidRPr="006C014A" w:rsidRDefault="006C014A" w:rsidP="006C014A">
            <w:pPr>
              <w:pStyle w:val="ListParagraph"/>
              <w:numPr>
                <w:ilvl w:val="0"/>
                <w:numId w:val="12"/>
              </w:numPr>
              <w:rPr>
                <w:rFonts w:ascii="Open Sans" w:eastAsia="Arial" w:hAnsi="Open Sans" w:cs="Arial"/>
                <w:bCs/>
                <w:sz w:val="22"/>
              </w:rPr>
            </w:pPr>
            <w:r w:rsidRPr="006C014A">
              <w:rPr>
                <w:rFonts w:ascii="Open Sans" w:eastAsia="Arial" w:hAnsi="Open Sans" w:cs="Arial"/>
                <w:bCs/>
                <w:sz w:val="22"/>
              </w:rPr>
              <w:t>Informed of Charge</w:t>
            </w:r>
          </w:p>
          <w:p w14:paraId="6134E9E4" w14:textId="77777777" w:rsidR="006C014A" w:rsidRPr="006C014A" w:rsidRDefault="006C014A" w:rsidP="006C014A">
            <w:pPr>
              <w:pStyle w:val="ListParagraph"/>
              <w:numPr>
                <w:ilvl w:val="0"/>
                <w:numId w:val="16"/>
              </w:numPr>
              <w:rPr>
                <w:rFonts w:ascii="Open Sans" w:eastAsia="Arial" w:hAnsi="Open Sans" w:cs="Arial"/>
                <w:bCs/>
                <w:sz w:val="22"/>
              </w:rPr>
            </w:pPr>
            <w:r w:rsidRPr="006C014A">
              <w:rPr>
                <w:rFonts w:ascii="Open Sans" w:eastAsia="Arial" w:hAnsi="Open Sans" w:cs="Arial"/>
                <w:bCs/>
                <w:sz w:val="22"/>
              </w:rPr>
              <w:t>Once arrested, a defendant has 72 hours to be arraigned, told what he is charged with, and offer his plea</w:t>
            </w:r>
          </w:p>
          <w:p w14:paraId="45FDA8C5" w14:textId="77777777" w:rsidR="006C014A" w:rsidRPr="006C014A" w:rsidRDefault="006C014A" w:rsidP="006C014A">
            <w:pPr>
              <w:pStyle w:val="ListParagraph"/>
              <w:numPr>
                <w:ilvl w:val="0"/>
                <w:numId w:val="16"/>
              </w:numPr>
              <w:rPr>
                <w:rFonts w:ascii="Open Sans" w:eastAsia="Arial" w:hAnsi="Open Sans" w:cs="Arial"/>
                <w:bCs/>
                <w:sz w:val="22"/>
              </w:rPr>
            </w:pPr>
            <w:r w:rsidRPr="006C014A">
              <w:rPr>
                <w:rFonts w:ascii="Open Sans" w:eastAsia="Arial" w:hAnsi="Open Sans" w:cs="Arial"/>
                <w:bCs/>
                <w:sz w:val="22"/>
              </w:rPr>
              <w:t>The more evidence collected before the arrest the better it is known What to charge the defendant with the extent of the charges has implications regarding the amount of the bail</w:t>
            </w:r>
          </w:p>
          <w:p w14:paraId="2F405859" w14:textId="77777777" w:rsidR="006C014A" w:rsidRPr="006C014A" w:rsidRDefault="006C014A" w:rsidP="006C014A">
            <w:pPr>
              <w:pStyle w:val="ListParagraph"/>
              <w:numPr>
                <w:ilvl w:val="0"/>
                <w:numId w:val="12"/>
              </w:numPr>
              <w:rPr>
                <w:rFonts w:ascii="Open Sans" w:eastAsia="Arial" w:hAnsi="Open Sans" w:cs="Arial"/>
                <w:bCs/>
                <w:sz w:val="22"/>
              </w:rPr>
            </w:pPr>
            <w:r w:rsidRPr="006C014A">
              <w:rPr>
                <w:rFonts w:ascii="Open Sans" w:eastAsia="Arial" w:hAnsi="Open Sans" w:cs="Arial"/>
                <w:bCs/>
                <w:sz w:val="22"/>
              </w:rPr>
              <w:t>Defense Council</w:t>
            </w:r>
          </w:p>
          <w:p w14:paraId="528A0C72" w14:textId="77777777" w:rsidR="006C014A" w:rsidRPr="006C014A" w:rsidRDefault="006C014A" w:rsidP="006C014A">
            <w:pPr>
              <w:pStyle w:val="ListParagraph"/>
              <w:numPr>
                <w:ilvl w:val="0"/>
                <w:numId w:val="17"/>
              </w:numPr>
              <w:rPr>
                <w:rFonts w:ascii="Open Sans" w:eastAsia="Arial" w:hAnsi="Open Sans" w:cs="Arial"/>
                <w:bCs/>
                <w:sz w:val="22"/>
              </w:rPr>
            </w:pPr>
            <w:r w:rsidRPr="006C014A">
              <w:rPr>
                <w:rFonts w:ascii="Open Sans" w:eastAsia="Arial" w:hAnsi="Open Sans" w:cs="Arial"/>
                <w:bCs/>
                <w:sz w:val="22"/>
              </w:rPr>
              <w:t>A defendant has the right to an attorney</w:t>
            </w:r>
          </w:p>
          <w:p w14:paraId="150C6182" w14:textId="77777777" w:rsidR="006C014A" w:rsidRPr="006C014A" w:rsidRDefault="006C014A" w:rsidP="006C014A">
            <w:pPr>
              <w:pStyle w:val="ListParagraph"/>
              <w:numPr>
                <w:ilvl w:val="0"/>
                <w:numId w:val="18"/>
              </w:numPr>
              <w:rPr>
                <w:rFonts w:ascii="Open Sans" w:eastAsia="Arial" w:hAnsi="Open Sans" w:cs="Arial"/>
                <w:bCs/>
                <w:sz w:val="22"/>
              </w:rPr>
            </w:pPr>
            <w:r w:rsidRPr="006C014A">
              <w:rPr>
                <w:rFonts w:ascii="Open Sans" w:eastAsia="Arial" w:hAnsi="Open Sans" w:cs="Arial"/>
                <w:bCs/>
                <w:sz w:val="22"/>
              </w:rPr>
              <w:t>If they can’t afford one, the court must provide one</w:t>
            </w:r>
          </w:p>
          <w:p w14:paraId="170587E1" w14:textId="77777777" w:rsidR="006C014A" w:rsidRPr="006C014A" w:rsidRDefault="006C014A" w:rsidP="006C014A">
            <w:pPr>
              <w:pStyle w:val="ListParagraph"/>
              <w:numPr>
                <w:ilvl w:val="0"/>
                <w:numId w:val="18"/>
              </w:numPr>
              <w:rPr>
                <w:rFonts w:ascii="Open Sans" w:eastAsia="Arial" w:hAnsi="Open Sans" w:cs="Arial"/>
                <w:bCs/>
                <w:sz w:val="22"/>
              </w:rPr>
            </w:pPr>
            <w:r w:rsidRPr="006C014A">
              <w:rPr>
                <w:rFonts w:ascii="Open Sans" w:eastAsia="Arial" w:hAnsi="Open Sans" w:cs="Arial"/>
                <w:bCs/>
                <w:sz w:val="22"/>
              </w:rPr>
              <w:t>A defense attorney must know every bit of the prosecutor’s evidence in the case to prepare</w:t>
            </w:r>
          </w:p>
          <w:p w14:paraId="4A3A7970" w14:textId="6F41F0C7" w:rsidR="006C014A" w:rsidRPr="006C014A" w:rsidRDefault="006C014A" w:rsidP="006C014A">
            <w:pPr>
              <w:pStyle w:val="ListParagraph"/>
              <w:numPr>
                <w:ilvl w:val="0"/>
                <w:numId w:val="18"/>
              </w:numPr>
              <w:rPr>
                <w:rFonts w:ascii="Open Sans" w:eastAsia="Arial" w:hAnsi="Open Sans" w:cs="Arial"/>
                <w:bCs/>
                <w:sz w:val="22"/>
              </w:rPr>
            </w:pPr>
            <w:r w:rsidRPr="006C014A">
              <w:rPr>
                <w:rFonts w:ascii="Open Sans" w:eastAsia="Arial" w:hAnsi="Open Sans" w:cs="Arial"/>
                <w:bCs/>
                <w:sz w:val="22"/>
              </w:rPr>
              <w:t>The defense attorney’s job is to get the defendant freed—</w:t>
            </w:r>
            <w:r w:rsidR="00392787" w:rsidRPr="006C014A">
              <w:rPr>
                <w:rFonts w:ascii="Open Sans" w:eastAsia="Arial" w:hAnsi="Open Sans" w:cs="Arial"/>
                <w:bCs/>
                <w:sz w:val="22"/>
              </w:rPr>
              <w:t>all</w:t>
            </w:r>
            <w:r w:rsidRPr="006C014A">
              <w:rPr>
                <w:rFonts w:ascii="Open Sans" w:eastAsia="Arial" w:hAnsi="Open Sans" w:cs="Arial"/>
                <w:bCs/>
                <w:sz w:val="22"/>
              </w:rPr>
              <w:t xml:space="preserve"> evidence and evidence procedures can be questioned; this includes collection, handling, delivery, analysis, testimony, and documentation</w:t>
            </w:r>
          </w:p>
          <w:p w14:paraId="40518817" w14:textId="77777777" w:rsidR="006C014A" w:rsidRPr="006C014A" w:rsidRDefault="006C014A" w:rsidP="006C014A">
            <w:pPr>
              <w:pStyle w:val="ListParagraph"/>
              <w:ind w:left="2160"/>
              <w:rPr>
                <w:rFonts w:ascii="Open Sans" w:eastAsia="Arial" w:hAnsi="Open Sans" w:cs="Arial"/>
                <w:bCs/>
                <w:sz w:val="22"/>
              </w:rPr>
            </w:pPr>
          </w:p>
          <w:p w14:paraId="12DEC25C" w14:textId="0DC1B326" w:rsidR="006C014A" w:rsidRPr="006C014A" w:rsidRDefault="006C014A" w:rsidP="006C014A">
            <w:pPr>
              <w:pStyle w:val="ListParagraph"/>
              <w:numPr>
                <w:ilvl w:val="0"/>
                <w:numId w:val="7"/>
              </w:numPr>
              <w:rPr>
                <w:rFonts w:ascii="Open Sans" w:eastAsia="Arial" w:hAnsi="Open Sans" w:cs="Arial"/>
                <w:bCs/>
                <w:sz w:val="22"/>
              </w:rPr>
            </w:pPr>
            <w:r w:rsidRPr="006C014A">
              <w:rPr>
                <w:rFonts w:ascii="Open Sans" w:eastAsia="Arial" w:hAnsi="Open Sans" w:cs="Arial"/>
                <w:bCs/>
                <w:sz w:val="22"/>
              </w:rPr>
              <w:t xml:space="preserve">Seventh Amendment – “In suits at common law, where the value in controversy shall exceed twenty dollars, the right of trial by jury shall be preserved, and no fact tried by a jury shall be otherwise reexamined in any court of the United States, </w:t>
            </w:r>
            <w:r w:rsidR="00392787" w:rsidRPr="006C014A">
              <w:rPr>
                <w:rFonts w:ascii="Open Sans" w:eastAsia="Arial" w:hAnsi="Open Sans" w:cs="Arial"/>
                <w:bCs/>
                <w:sz w:val="22"/>
              </w:rPr>
              <w:t>then</w:t>
            </w:r>
            <w:r w:rsidRPr="006C014A">
              <w:rPr>
                <w:rFonts w:ascii="Open Sans" w:eastAsia="Arial" w:hAnsi="Open Sans" w:cs="Arial"/>
                <w:bCs/>
                <w:sz w:val="22"/>
              </w:rPr>
              <w:t xml:space="preserve"> according to the rules of the common law.”</w:t>
            </w:r>
          </w:p>
          <w:p w14:paraId="06D2FB66" w14:textId="77777777" w:rsidR="006C014A" w:rsidRPr="006C014A" w:rsidRDefault="006C014A" w:rsidP="006C014A">
            <w:pPr>
              <w:pStyle w:val="ListParagraph"/>
              <w:numPr>
                <w:ilvl w:val="0"/>
                <w:numId w:val="19"/>
              </w:numPr>
              <w:rPr>
                <w:rFonts w:ascii="Open Sans" w:eastAsia="Arial" w:hAnsi="Open Sans" w:cs="Arial"/>
                <w:bCs/>
                <w:sz w:val="22"/>
              </w:rPr>
            </w:pPr>
            <w:r w:rsidRPr="006C014A">
              <w:rPr>
                <w:rFonts w:ascii="Open Sans" w:eastAsia="Arial" w:hAnsi="Open Sans" w:cs="Arial"/>
                <w:bCs/>
                <w:sz w:val="22"/>
              </w:rPr>
              <w:t>Impartial Trial by Jury</w:t>
            </w:r>
          </w:p>
          <w:p w14:paraId="67031F77" w14:textId="77777777" w:rsidR="006C014A" w:rsidRPr="006C014A" w:rsidRDefault="006C014A" w:rsidP="006C014A">
            <w:pPr>
              <w:pStyle w:val="ListParagraph"/>
              <w:numPr>
                <w:ilvl w:val="0"/>
                <w:numId w:val="20"/>
              </w:numPr>
              <w:rPr>
                <w:rFonts w:ascii="Open Sans" w:eastAsia="Arial" w:hAnsi="Open Sans" w:cs="Arial"/>
                <w:bCs/>
                <w:sz w:val="22"/>
              </w:rPr>
            </w:pPr>
            <w:r w:rsidRPr="006C014A">
              <w:rPr>
                <w:rFonts w:ascii="Open Sans" w:eastAsia="Arial" w:hAnsi="Open Sans" w:cs="Arial"/>
                <w:bCs/>
                <w:sz w:val="22"/>
              </w:rPr>
              <w:t>Jury of the individual’s peers is the standard</w:t>
            </w:r>
          </w:p>
          <w:p w14:paraId="7DDB06E5" w14:textId="77777777" w:rsidR="006C014A" w:rsidRPr="006C014A" w:rsidRDefault="006C014A" w:rsidP="006C014A">
            <w:pPr>
              <w:pStyle w:val="ListParagraph"/>
              <w:numPr>
                <w:ilvl w:val="0"/>
                <w:numId w:val="20"/>
              </w:numPr>
              <w:rPr>
                <w:rFonts w:ascii="Open Sans" w:eastAsia="Arial" w:hAnsi="Open Sans" w:cs="Arial"/>
                <w:bCs/>
                <w:sz w:val="22"/>
              </w:rPr>
            </w:pPr>
            <w:r w:rsidRPr="006C014A">
              <w:rPr>
                <w:rFonts w:ascii="Open Sans" w:eastAsia="Arial" w:hAnsi="Open Sans" w:cs="Arial"/>
                <w:bCs/>
                <w:sz w:val="22"/>
              </w:rPr>
              <w:t>Some evidence and its analysis are very intricate, detailed, and difficult to understand outside of the scientific community; this can help or hurt the defendant</w:t>
            </w:r>
          </w:p>
          <w:p w14:paraId="56A48A42" w14:textId="77777777" w:rsidR="006C014A" w:rsidRPr="006C014A" w:rsidRDefault="006C014A" w:rsidP="006C014A">
            <w:pPr>
              <w:pStyle w:val="ListParagraph"/>
              <w:numPr>
                <w:ilvl w:val="0"/>
                <w:numId w:val="20"/>
              </w:numPr>
              <w:rPr>
                <w:rFonts w:ascii="Open Sans" w:eastAsia="Arial" w:hAnsi="Open Sans" w:cs="Arial"/>
                <w:bCs/>
                <w:sz w:val="22"/>
              </w:rPr>
            </w:pPr>
            <w:r w:rsidRPr="006C014A">
              <w:rPr>
                <w:rFonts w:ascii="Open Sans" w:eastAsia="Arial" w:hAnsi="Open Sans" w:cs="Arial"/>
                <w:bCs/>
                <w:sz w:val="22"/>
              </w:rPr>
              <w:t>United States Court – all courts used for trials should be controlled by the United States government; furthermore, all verdicts handed down by these courts are final (unless appealed to a higher court)</w:t>
            </w:r>
          </w:p>
          <w:p w14:paraId="0158E49D" w14:textId="77777777" w:rsidR="006C014A" w:rsidRPr="006C014A" w:rsidRDefault="006C014A" w:rsidP="006C014A">
            <w:pPr>
              <w:pStyle w:val="ListParagraph"/>
              <w:ind w:left="2160"/>
              <w:rPr>
                <w:rFonts w:ascii="Open Sans" w:eastAsia="Arial" w:hAnsi="Open Sans" w:cs="Arial"/>
                <w:bCs/>
                <w:sz w:val="22"/>
              </w:rPr>
            </w:pPr>
          </w:p>
          <w:p w14:paraId="704F9C51" w14:textId="77777777" w:rsidR="006C014A" w:rsidRPr="006C014A" w:rsidRDefault="006C014A" w:rsidP="006C014A">
            <w:pPr>
              <w:pStyle w:val="ListParagraph"/>
              <w:numPr>
                <w:ilvl w:val="0"/>
                <w:numId w:val="8"/>
              </w:numPr>
              <w:tabs>
                <w:tab w:val="left" w:pos="800"/>
              </w:tabs>
              <w:jc w:val="both"/>
              <w:rPr>
                <w:rFonts w:ascii="Open Sans" w:eastAsia="Arial" w:hAnsi="Open Sans" w:cs="Arial"/>
                <w:bCs/>
                <w:sz w:val="22"/>
              </w:rPr>
            </w:pPr>
            <w:r w:rsidRPr="006C014A">
              <w:rPr>
                <w:rFonts w:ascii="Open Sans" w:eastAsia="Arial" w:hAnsi="Open Sans" w:cs="Arial"/>
                <w:bCs/>
                <w:sz w:val="22"/>
              </w:rPr>
              <w:t>The Evidence in Court – how evidence is received in a court of law is extremely important to a crime scene professional. Because of the Constitution’s view of “innocent until proven</w:t>
            </w:r>
            <w:r>
              <w:rPr>
                <w:rFonts w:ascii="Open Sans" w:eastAsia="Arial" w:hAnsi="Open Sans" w:cs="Arial"/>
                <w:bCs/>
                <w:sz w:val="22"/>
              </w:rPr>
              <w:t xml:space="preserve"> </w:t>
            </w:r>
            <w:r w:rsidRPr="006C014A">
              <w:rPr>
                <w:rFonts w:ascii="Open Sans" w:eastAsia="Arial" w:hAnsi="Open Sans" w:cs="Arial"/>
                <w:bCs/>
                <w:sz w:val="22"/>
              </w:rPr>
              <w:t>guilty” and the rights of the accused, it is crucial that those in law enforcement understand the types of evidence, how it is perceived in court, how to testify to its significance, and the importance of proper evidence collection and handling</w:t>
            </w:r>
          </w:p>
          <w:p w14:paraId="392CB58E" w14:textId="77777777" w:rsidR="006C014A" w:rsidRPr="006C014A" w:rsidRDefault="006C014A" w:rsidP="006C014A">
            <w:pPr>
              <w:pStyle w:val="ListParagraph"/>
              <w:numPr>
                <w:ilvl w:val="0"/>
                <w:numId w:val="21"/>
              </w:numPr>
              <w:rPr>
                <w:rFonts w:ascii="Open Sans" w:eastAsia="Arial" w:hAnsi="Open Sans" w:cs="Arial"/>
                <w:bCs/>
                <w:sz w:val="22"/>
              </w:rPr>
            </w:pPr>
            <w:r w:rsidRPr="006C014A">
              <w:rPr>
                <w:rFonts w:ascii="Open Sans" w:eastAsia="Arial" w:hAnsi="Open Sans" w:cs="Arial"/>
                <w:bCs/>
                <w:sz w:val="22"/>
              </w:rPr>
              <w:t>Power of the Evidence in Court</w:t>
            </w:r>
          </w:p>
          <w:p w14:paraId="033DD23F" w14:textId="77777777" w:rsidR="006C014A" w:rsidRPr="006C014A" w:rsidRDefault="006C014A" w:rsidP="006C014A">
            <w:pPr>
              <w:pStyle w:val="ListParagraph"/>
              <w:numPr>
                <w:ilvl w:val="0"/>
                <w:numId w:val="22"/>
              </w:numPr>
              <w:rPr>
                <w:rFonts w:ascii="Open Sans" w:eastAsia="Arial" w:hAnsi="Open Sans" w:cs="Arial"/>
                <w:bCs/>
                <w:sz w:val="22"/>
              </w:rPr>
            </w:pPr>
            <w:r w:rsidRPr="006C014A">
              <w:rPr>
                <w:rFonts w:ascii="Open Sans" w:eastAsia="Arial" w:hAnsi="Open Sans" w:cs="Arial"/>
                <w:bCs/>
                <w:sz w:val="22"/>
              </w:rPr>
              <w:t>Probative Value</w:t>
            </w:r>
          </w:p>
          <w:p w14:paraId="75B75D33" w14:textId="77777777" w:rsidR="006C014A" w:rsidRPr="006C014A" w:rsidRDefault="006C014A" w:rsidP="006C014A">
            <w:pPr>
              <w:pStyle w:val="ListParagraph"/>
              <w:numPr>
                <w:ilvl w:val="0"/>
                <w:numId w:val="23"/>
              </w:numPr>
              <w:rPr>
                <w:rFonts w:ascii="Open Sans" w:eastAsia="Arial" w:hAnsi="Open Sans" w:cs="Arial"/>
                <w:bCs/>
                <w:sz w:val="22"/>
              </w:rPr>
            </w:pPr>
            <w:r w:rsidRPr="006C014A">
              <w:rPr>
                <w:rFonts w:ascii="Open Sans" w:eastAsia="Arial" w:hAnsi="Open Sans" w:cs="Arial"/>
                <w:bCs/>
                <w:sz w:val="22"/>
              </w:rPr>
              <w:t>Higher value if the evidence can prove something in court</w:t>
            </w:r>
          </w:p>
          <w:p w14:paraId="167F7514" w14:textId="77777777" w:rsidR="006C014A" w:rsidRPr="006C014A" w:rsidRDefault="006C014A" w:rsidP="006C014A">
            <w:pPr>
              <w:pStyle w:val="ListParagraph"/>
              <w:numPr>
                <w:ilvl w:val="0"/>
                <w:numId w:val="23"/>
              </w:numPr>
              <w:rPr>
                <w:rFonts w:ascii="Open Sans" w:eastAsia="Arial" w:hAnsi="Open Sans" w:cs="Arial"/>
                <w:bCs/>
                <w:sz w:val="22"/>
              </w:rPr>
            </w:pPr>
            <w:r w:rsidRPr="006C014A">
              <w:rPr>
                <w:rFonts w:ascii="Open Sans" w:eastAsia="Arial" w:hAnsi="Open Sans" w:cs="Arial"/>
                <w:bCs/>
                <w:sz w:val="22"/>
              </w:rPr>
              <w:t>The lower the probability of an event, the higher the probative value</w:t>
            </w:r>
          </w:p>
          <w:p w14:paraId="32BB3AF0" w14:textId="77777777" w:rsidR="006C014A" w:rsidRPr="006C014A" w:rsidRDefault="006C014A" w:rsidP="006C014A">
            <w:pPr>
              <w:pStyle w:val="ListParagraph"/>
              <w:numPr>
                <w:ilvl w:val="0"/>
                <w:numId w:val="22"/>
              </w:numPr>
              <w:rPr>
                <w:rFonts w:ascii="Open Sans" w:eastAsia="Arial" w:hAnsi="Open Sans" w:cs="Arial"/>
                <w:bCs/>
                <w:sz w:val="22"/>
              </w:rPr>
            </w:pPr>
            <w:r w:rsidRPr="006C014A">
              <w:rPr>
                <w:rFonts w:ascii="Open Sans" w:eastAsia="Arial" w:hAnsi="Open Sans" w:cs="Arial"/>
                <w:bCs/>
                <w:sz w:val="22"/>
              </w:rPr>
              <w:t>Probability – the frequency of the occurrence of an event a) Defines the odds that a certain event will occur (or the matching of a certain pieces of evidence)</w:t>
            </w:r>
          </w:p>
          <w:p w14:paraId="53D0C547" w14:textId="77777777" w:rsidR="006C014A" w:rsidRPr="006C014A" w:rsidRDefault="006C014A" w:rsidP="006C014A">
            <w:pPr>
              <w:pStyle w:val="ListParagraph"/>
              <w:numPr>
                <w:ilvl w:val="0"/>
                <w:numId w:val="24"/>
              </w:numPr>
              <w:rPr>
                <w:rFonts w:ascii="Open Sans" w:eastAsia="Arial" w:hAnsi="Open Sans" w:cs="Arial"/>
                <w:bCs/>
                <w:sz w:val="22"/>
              </w:rPr>
            </w:pPr>
            <w:r w:rsidRPr="006C014A">
              <w:rPr>
                <w:rFonts w:ascii="Open Sans" w:eastAsia="Arial" w:hAnsi="Open Sans" w:cs="Arial"/>
                <w:bCs/>
                <w:sz w:val="22"/>
              </w:rPr>
              <w:t>Normally found by multiplying the odds</w:t>
            </w:r>
          </w:p>
          <w:p w14:paraId="0B2D2890" w14:textId="77777777" w:rsidR="006C014A" w:rsidRPr="006C014A" w:rsidRDefault="006C014A" w:rsidP="006C014A">
            <w:pPr>
              <w:pStyle w:val="ListParagraph"/>
              <w:numPr>
                <w:ilvl w:val="0"/>
                <w:numId w:val="24"/>
              </w:numPr>
              <w:rPr>
                <w:rFonts w:ascii="Open Sans" w:eastAsia="Arial" w:hAnsi="Open Sans" w:cs="Arial"/>
                <w:bCs/>
                <w:sz w:val="22"/>
              </w:rPr>
            </w:pPr>
            <w:r w:rsidRPr="006C014A">
              <w:rPr>
                <w:rFonts w:ascii="Open Sans" w:eastAsia="Arial" w:hAnsi="Open Sans" w:cs="Arial"/>
                <w:bCs/>
                <w:sz w:val="22"/>
              </w:rPr>
              <w:t>Example – if a coin is flipped 100 times and comes up heads 50 times, the probability of coming up heads is 50 out of 100, or 5 out of 10</w:t>
            </w:r>
          </w:p>
          <w:p w14:paraId="5E79C1C6" w14:textId="77777777" w:rsidR="006C014A" w:rsidRPr="006C014A" w:rsidRDefault="006C014A" w:rsidP="006C014A">
            <w:pPr>
              <w:pStyle w:val="ListParagraph"/>
              <w:numPr>
                <w:ilvl w:val="0"/>
                <w:numId w:val="22"/>
              </w:numPr>
              <w:rPr>
                <w:rFonts w:ascii="Open Sans" w:eastAsia="Arial" w:hAnsi="Open Sans" w:cs="Arial"/>
                <w:bCs/>
                <w:sz w:val="22"/>
              </w:rPr>
            </w:pPr>
            <w:r w:rsidRPr="006C014A">
              <w:rPr>
                <w:rFonts w:ascii="Open Sans" w:eastAsia="Arial" w:hAnsi="Open Sans" w:cs="Arial"/>
                <w:bCs/>
                <w:sz w:val="22"/>
              </w:rPr>
              <w:t>Product Rule – calculate the overall frequency of occurrence of in a population</w:t>
            </w:r>
          </w:p>
          <w:p w14:paraId="000BC23E" w14:textId="77777777" w:rsidR="006C014A" w:rsidRPr="006C014A" w:rsidRDefault="006C014A" w:rsidP="006C014A">
            <w:pPr>
              <w:pStyle w:val="ListParagraph"/>
              <w:numPr>
                <w:ilvl w:val="0"/>
                <w:numId w:val="25"/>
              </w:numPr>
              <w:rPr>
                <w:rFonts w:ascii="Open Sans" w:eastAsia="Arial" w:hAnsi="Open Sans" w:cs="Arial"/>
                <w:bCs/>
                <w:sz w:val="22"/>
              </w:rPr>
            </w:pPr>
            <w:r w:rsidRPr="006C014A">
              <w:rPr>
                <w:rFonts w:ascii="Open Sans" w:eastAsia="Arial" w:hAnsi="Open Sans" w:cs="Arial"/>
                <w:bCs/>
                <w:sz w:val="22"/>
              </w:rPr>
              <w:t>Example – the OJ Simpson case: Blood factors from a crime scene that match OJ’s blood (Bertino, 2009)</w:t>
            </w:r>
          </w:p>
          <w:tbl>
            <w:tblPr>
              <w:tblpPr w:leftFromText="180" w:rightFromText="180" w:vertAnchor="text" w:horzAnchor="margin" w:tblpY="14"/>
              <w:tblOverlap w:val="never"/>
              <w:tblW w:w="0" w:type="auto"/>
              <w:tblLayout w:type="fixed"/>
              <w:tblCellMar>
                <w:left w:w="0" w:type="dxa"/>
                <w:right w:w="0" w:type="dxa"/>
              </w:tblCellMar>
              <w:tblLook w:val="04A0" w:firstRow="1" w:lastRow="0" w:firstColumn="1" w:lastColumn="0" w:noHBand="0" w:noVBand="1"/>
            </w:tblPr>
            <w:tblGrid>
              <w:gridCol w:w="2020"/>
              <w:gridCol w:w="2060"/>
              <w:gridCol w:w="1960"/>
            </w:tblGrid>
            <w:tr w:rsidR="006C014A" w14:paraId="4B14A9D8" w14:textId="77777777" w:rsidTr="006C014A">
              <w:trPr>
                <w:trHeight w:val="266"/>
              </w:trPr>
              <w:tc>
                <w:tcPr>
                  <w:tcW w:w="2020" w:type="dxa"/>
                  <w:tcBorders>
                    <w:top w:val="single" w:sz="8" w:space="0" w:color="auto"/>
                    <w:left w:val="single" w:sz="8" w:space="0" w:color="auto"/>
                    <w:right w:val="single" w:sz="8" w:space="0" w:color="auto"/>
                  </w:tcBorders>
                  <w:vAlign w:val="bottom"/>
                </w:tcPr>
                <w:p w14:paraId="3E61A2D8" w14:textId="77777777" w:rsidR="006C014A" w:rsidRDefault="006C014A" w:rsidP="006C014A">
                  <w:pPr>
                    <w:spacing w:line="265" w:lineRule="exact"/>
                    <w:jc w:val="center"/>
                    <w:rPr>
                      <w:sz w:val="20"/>
                      <w:szCs w:val="20"/>
                    </w:rPr>
                  </w:pPr>
                  <w:r>
                    <w:rPr>
                      <w:rFonts w:ascii="Arial" w:eastAsia="Arial" w:hAnsi="Arial" w:cs="Arial"/>
                      <w:w w:val="99"/>
                    </w:rPr>
                    <w:t>Blood Factors</w:t>
                  </w:r>
                </w:p>
              </w:tc>
              <w:tc>
                <w:tcPr>
                  <w:tcW w:w="2060" w:type="dxa"/>
                  <w:tcBorders>
                    <w:top w:val="single" w:sz="8" w:space="0" w:color="auto"/>
                    <w:right w:val="single" w:sz="8" w:space="0" w:color="auto"/>
                  </w:tcBorders>
                  <w:vAlign w:val="bottom"/>
                </w:tcPr>
                <w:p w14:paraId="42B101E6" w14:textId="77777777" w:rsidR="006C014A" w:rsidRDefault="006C014A" w:rsidP="006C014A">
                  <w:pPr>
                    <w:spacing w:line="265" w:lineRule="exact"/>
                    <w:jc w:val="center"/>
                    <w:rPr>
                      <w:sz w:val="20"/>
                      <w:szCs w:val="20"/>
                    </w:rPr>
                  </w:pPr>
                  <w:r>
                    <w:rPr>
                      <w:rFonts w:ascii="Arial" w:eastAsia="Arial" w:hAnsi="Arial" w:cs="Arial"/>
                      <w:w w:val="99"/>
                    </w:rPr>
                    <w:t>Frequency in</w:t>
                  </w:r>
                </w:p>
              </w:tc>
              <w:tc>
                <w:tcPr>
                  <w:tcW w:w="1960" w:type="dxa"/>
                  <w:tcBorders>
                    <w:top w:val="single" w:sz="8" w:space="0" w:color="auto"/>
                    <w:right w:val="single" w:sz="8" w:space="0" w:color="auto"/>
                  </w:tcBorders>
                  <w:vAlign w:val="bottom"/>
                </w:tcPr>
                <w:p w14:paraId="1BA2AEB2" w14:textId="77777777" w:rsidR="006C014A" w:rsidRDefault="006C014A" w:rsidP="006C014A">
                  <w:pPr>
                    <w:spacing w:line="265" w:lineRule="exact"/>
                    <w:jc w:val="center"/>
                    <w:rPr>
                      <w:sz w:val="20"/>
                      <w:szCs w:val="20"/>
                    </w:rPr>
                  </w:pPr>
                  <w:r>
                    <w:rPr>
                      <w:rFonts w:ascii="Arial" w:eastAsia="Arial" w:hAnsi="Arial" w:cs="Arial"/>
                    </w:rPr>
                    <w:t>Decimal of the</w:t>
                  </w:r>
                </w:p>
              </w:tc>
            </w:tr>
            <w:tr w:rsidR="006C014A" w14:paraId="3A48A036" w14:textId="77777777" w:rsidTr="006C014A">
              <w:trPr>
                <w:trHeight w:val="279"/>
              </w:trPr>
              <w:tc>
                <w:tcPr>
                  <w:tcW w:w="2020" w:type="dxa"/>
                  <w:tcBorders>
                    <w:left w:val="single" w:sz="8" w:space="0" w:color="auto"/>
                    <w:bottom w:val="single" w:sz="8" w:space="0" w:color="auto"/>
                    <w:right w:val="single" w:sz="8" w:space="0" w:color="auto"/>
                  </w:tcBorders>
                  <w:vAlign w:val="bottom"/>
                </w:tcPr>
                <w:p w14:paraId="72C4B2BC" w14:textId="77777777" w:rsidR="006C014A" w:rsidRDefault="006C014A" w:rsidP="006C014A"/>
              </w:tc>
              <w:tc>
                <w:tcPr>
                  <w:tcW w:w="2060" w:type="dxa"/>
                  <w:tcBorders>
                    <w:bottom w:val="single" w:sz="8" w:space="0" w:color="auto"/>
                    <w:right w:val="single" w:sz="8" w:space="0" w:color="auto"/>
                  </w:tcBorders>
                  <w:vAlign w:val="bottom"/>
                </w:tcPr>
                <w:p w14:paraId="7F09CC61" w14:textId="77777777" w:rsidR="006C014A" w:rsidRDefault="006C014A" w:rsidP="006C014A">
                  <w:pPr>
                    <w:jc w:val="center"/>
                    <w:rPr>
                      <w:sz w:val="20"/>
                      <w:szCs w:val="20"/>
                    </w:rPr>
                  </w:pPr>
                  <w:r>
                    <w:rPr>
                      <w:rFonts w:ascii="Arial" w:eastAsia="Arial" w:hAnsi="Arial" w:cs="Arial"/>
                    </w:rPr>
                    <w:t>Population (%)</w:t>
                  </w:r>
                </w:p>
              </w:tc>
              <w:tc>
                <w:tcPr>
                  <w:tcW w:w="1960" w:type="dxa"/>
                  <w:tcBorders>
                    <w:bottom w:val="single" w:sz="8" w:space="0" w:color="auto"/>
                    <w:right w:val="single" w:sz="8" w:space="0" w:color="auto"/>
                  </w:tcBorders>
                  <w:vAlign w:val="bottom"/>
                </w:tcPr>
                <w:p w14:paraId="35F2AFA2" w14:textId="77777777" w:rsidR="006C014A" w:rsidRDefault="006C014A" w:rsidP="006C014A">
                  <w:pPr>
                    <w:jc w:val="center"/>
                    <w:rPr>
                      <w:sz w:val="20"/>
                      <w:szCs w:val="20"/>
                    </w:rPr>
                  </w:pPr>
                  <w:r>
                    <w:rPr>
                      <w:rFonts w:ascii="Arial" w:eastAsia="Arial" w:hAnsi="Arial" w:cs="Arial"/>
                    </w:rPr>
                    <w:t>Frequency</w:t>
                  </w:r>
                </w:p>
              </w:tc>
            </w:tr>
            <w:tr w:rsidR="006C014A" w14:paraId="21407D44" w14:textId="77777777" w:rsidTr="006C014A">
              <w:trPr>
                <w:trHeight w:val="266"/>
              </w:trPr>
              <w:tc>
                <w:tcPr>
                  <w:tcW w:w="2020" w:type="dxa"/>
                  <w:tcBorders>
                    <w:left w:val="single" w:sz="8" w:space="0" w:color="auto"/>
                    <w:bottom w:val="single" w:sz="8" w:space="0" w:color="auto"/>
                    <w:right w:val="single" w:sz="8" w:space="0" w:color="auto"/>
                  </w:tcBorders>
                  <w:vAlign w:val="bottom"/>
                </w:tcPr>
                <w:p w14:paraId="0F37009A" w14:textId="77777777" w:rsidR="006C014A" w:rsidRDefault="006C014A" w:rsidP="006C014A">
                  <w:pPr>
                    <w:spacing w:line="265" w:lineRule="exact"/>
                    <w:jc w:val="center"/>
                    <w:rPr>
                      <w:sz w:val="20"/>
                      <w:szCs w:val="20"/>
                    </w:rPr>
                  </w:pPr>
                  <w:r>
                    <w:rPr>
                      <w:rFonts w:ascii="Arial" w:eastAsia="Arial" w:hAnsi="Arial" w:cs="Arial"/>
                      <w:w w:val="99"/>
                    </w:rPr>
                    <w:t>A</w:t>
                  </w:r>
                </w:p>
              </w:tc>
              <w:tc>
                <w:tcPr>
                  <w:tcW w:w="2060" w:type="dxa"/>
                  <w:tcBorders>
                    <w:bottom w:val="single" w:sz="8" w:space="0" w:color="auto"/>
                    <w:right w:val="single" w:sz="8" w:space="0" w:color="auto"/>
                  </w:tcBorders>
                  <w:vAlign w:val="bottom"/>
                </w:tcPr>
                <w:p w14:paraId="4C1EC446" w14:textId="77777777" w:rsidR="006C014A" w:rsidRDefault="006C014A" w:rsidP="006C014A">
                  <w:pPr>
                    <w:spacing w:line="265" w:lineRule="exact"/>
                    <w:jc w:val="center"/>
                    <w:rPr>
                      <w:sz w:val="20"/>
                      <w:szCs w:val="20"/>
                    </w:rPr>
                  </w:pPr>
                  <w:r>
                    <w:rPr>
                      <w:rFonts w:ascii="Arial" w:eastAsia="Arial" w:hAnsi="Arial" w:cs="Arial"/>
                      <w:w w:val="99"/>
                    </w:rPr>
                    <w:t>26%</w:t>
                  </w:r>
                </w:p>
              </w:tc>
              <w:tc>
                <w:tcPr>
                  <w:tcW w:w="1960" w:type="dxa"/>
                  <w:tcBorders>
                    <w:bottom w:val="single" w:sz="8" w:space="0" w:color="auto"/>
                    <w:right w:val="single" w:sz="8" w:space="0" w:color="auto"/>
                  </w:tcBorders>
                  <w:vAlign w:val="bottom"/>
                </w:tcPr>
                <w:p w14:paraId="535C9156" w14:textId="77777777" w:rsidR="006C014A" w:rsidRDefault="006C014A" w:rsidP="006C014A">
                  <w:pPr>
                    <w:spacing w:line="265" w:lineRule="exact"/>
                    <w:jc w:val="center"/>
                    <w:rPr>
                      <w:sz w:val="20"/>
                      <w:szCs w:val="20"/>
                    </w:rPr>
                  </w:pPr>
                  <w:r>
                    <w:rPr>
                      <w:rFonts w:ascii="Arial" w:eastAsia="Arial" w:hAnsi="Arial" w:cs="Arial"/>
                    </w:rPr>
                    <w:t>.26</w:t>
                  </w:r>
                </w:p>
              </w:tc>
            </w:tr>
            <w:tr w:rsidR="006C014A" w14:paraId="1690BB4F" w14:textId="77777777" w:rsidTr="006C014A">
              <w:trPr>
                <w:trHeight w:val="266"/>
              </w:trPr>
              <w:tc>
                <w:tcPr>
                  <w:tcW w:w="2020" w:type="dxa"/>
                  <w:tcBorders>
                    <w:left w:val="single" w:sz="8" w:space="0" w:color="auto"/>
                    <w:bottom w:val="single" w:sz="8" w:space="0" w:color="auto"/>
                    <w:right w:val="single" w:sz="8" w:space="0" w:color="auto"/>
                  </w:tcBorders>
                  <w:vAlign w:val="bottom"/>
                </w:tcPr>
                <w:p w14:paraId="42125832" w14:textId="77777777" w:rsidR="006C014A" w:rsidRDefault="006C014A" w:rsidP="006C014A">
                  <w:pPr>
                    <w:spacing w:line="265" w:lineRule="exact"/>
                    <w:jc w:val="center"/>
                    <w:rPr>
                      <w:sz w:val="20"/>
                      <w:szCs w:val="20"/>
                    </w:rPr>
                  </w:pPr>
                  <w:r>
                    <w:rPr>
                      <w:rFonts w:ascii="Arial" w:eastAsia="Arial" w:hAnsi="Arial" w:cs="Arial"/>
                      <w:w w:val="96"/>
                    </w:rPr>
                    <w:t>EsD</w:t>
                  </w:r>
                </w:p>
              </w:tc>
              <w:tc>
                <w:tcPr>
                  <w:tcW w:w="2060" w:type="dxa"/>
                  <w:tcBorders>
                    <w:bottom w:val="single" w:sz="8" w:space="0" w:color="auto"/>
                    <w:right w:val="single" w:sz="8" w:space="0" w:color="auto"/>
                  </w:tcBorders>
                  <w:vAlign w:val="bottom"/>
                </w:tcPr>
                <w:p w14:paraId="54CE3C5F" w14:textId="77777777" w:rsidR="006C014A" w:rsidRDefault="006C014A" w:rsidP="006C014A">
                  <w:pPr>
                    <w:spacing w:line="265" w:lineRule="exact"/>
                    <w:jc w:val="center"/>
                    <w:rPr>
                      <w:sz w:val="20"/>
                      <w:szCs w:val="20"/>
                    </w:rPr>
                  </w:pPr>
                  <w:r>
                    <w:rPr>
                      <w:rFonts w:ascii="Arial" w:eastAsia="Arial" w:hAnsi="Arial" w:cs="Arial"/>
                      <w:w w:val="99"/>
                    </w:rPr>
                    <w:t>85%</w:t>
                  </w:r>
                </w:p>
              </w:tc>
              <w:tc>
                <w:tcPr>
                  <w:tcW w:w="1960" w:type="dxa"/>
                  <w:tcBorders>
                    <w:bottom w:val="single" w:sz="8" w:space="0" w:color="auto"/>
                    <w:right w:val="single" w:sz="8" w:space="0" w:color="auto"/>
                  </w:tcBorders>
                  <w:vAlign w:val="bottom"/>
                </w:tcPr>
                <w:p w14:paraId="06EEE9EC" w14:textId="77777777" w:rsidR="006C014A" w:rsidRDefault="006C014A" w:rsidP="006C014A">
                  <w:pPr>
                    <w:spacing w:line="265" w:lineRule="exact"/>
                    <w:jc w:val="center"/>
                    <w:rPr>
                      <w:sz w:val="20"/>
                      <w:szCs w:val="20"/>
                    </w:rPr>
                  </w:pPr>
                  <w:r>
                    <w:rPr>
                      <w:rFonts w:ascii="Arial" w:eastAsia="Arial" w:hAnsi="Arial" w:cs="Arial"/>
                    </w:rPr>
                    <w:t>.85</w:t>
                  </w:r>
                </w:p>
              </w:tc>
            </w:tr>
            <w:tr w:rsidR="006C014A" w14:paraId="7A41FFDF" w14:textId="77777777" w:rsidTr="006C014A">
              <w:trPr>
                <w:trHeight w:val="268"/>
              </w:trPr>
              <w:tc>
                <w:tcPr>
                  <w:tcW w:w="2020" w:type="dxa"/>
                  <w:tcBorders>
                    <w:left w:val="single" w:sz="8" w:space="0" w:color="auto"/>
                    <w:bottom w:val="single" w:sz="8" w:space="0" w:color="auto"/>
                    <w:right w:val="single" w:sz="8" w:space="0" w:color="auto"/>
                  </w:tcBorders>
                  <w:vAlign w:val="bottom"/>
                </w:tcPr>
                <w:p w14:paraId="496E7E7F" w14:textId="77777777" w:rsidR="006C014A" w:rsidRDefault="006C014A" w:rsidP="006C014A">
                  <w:pPr>
                    <w:spacing w:line="265" w:lineRule="exact"/>
                    <w:jc w:val="center"/>
                    <w:rPr>
                      <w:sz w:val="20"/>
                      <w:szCs w:val="20"/>
                    </w:rPr>
                  </w:pPr>
                  <w:r>
                    <w:rPr>
                      <w:rFonts w:ascii="Arial" w:eastAsia="Arial" w:hAnsi="Arial" w:cs="Arial"/>
                      <w:w w:val="99"/>
                    </w:rPr>
                    <w:t>PGM 2+2-</w:t>
                  </w:r>
                </w:p>
              </w:tc>
              <w:tc>
                <w:tcPr>
                  <w:tcW w:w="2060" w:type="dxa"/>
                  <w:tcBorders>
                    <w:bottom w:val="single" w:sz="8" w:space="0" w:color="auto"/>
                    <w:right w:val="single" w:sz="8" w:space="0" w:color="auto"/>
                  </w:tcBorders>
                  <w:vAlign w:val="bottom"/>
                </w:tcPr>
                <w:p w14:paraId="2EF79BD7" w14:textId="77777777" w:rsidR="006C014A" w:rsidRDefault="006C014A" w:rsidP="006C014A">
                  <w:pPr>
                    <w:spacing w:line="265" w:lineRule="exact"/>
                    <w:jc w:val="center"/>
                    <w:rPr>
                      <w:sz w:val="20"/>
                      <w:szCs w:val="20"/>
                    </w:rPr>
                  </w:pPr>
                  <w:r>
                    <w:rPr>
                      <w:rFonts w:ascii="Arial" w:eastAsia="Arial" w:hAnsi="Arial" w:cs="Arial"/>
                      <w:w w:val="97"/>
                    </w:rPr>
                    <w:t>2%</w:t>
                  </w:r>
                </w:p>
              </w:tc>
              <w:tc>
                <w:tcPr>
                  <w:tcW w:w="1960" w:type="dxa"/>
                  <w:tcBorders>
                    <w:bottom w:val="single" w:sz="8" w:space="0" w:color="auto"/>
                    <w:right w:val="single" w:sz="8" w:space="0" w:color="auto"/>
                  </w:tcBorders>
                  <w:vAlign w:val="bottom"/>
                </w:tcPr>
                <w:p w14:paraId="6C224871" w14:textId="77777777" w:rsidR="006C014A" w:rsidRDefault="006C014A" w:rsidP="006C014A">
                  <w:pPr>
                    <w:spacing w:line="265" w:lineRule="exact"/>
                    <w:jc w:val="center"/>
                    <w:rPr>
                      <w:sz w:val="20"/>
                      <w:szCs w:val="20"/>
                    </w:rPr>
                  </w:pPr>
                  <w:r>
                    <w:rPr>
                      <w:rFonts w:ascii="Arial" w:eastAsia="Arial" w:hAnsi="Arial" w:cs="Arial"/>
                    </w:rPr>
                    <w:t>.02</w:t>
                  </w:r>
                </w:p>
              </w:tc>
            </w:tr>
          </w:tbl>
          <w:p w14:paraId="2F6E4799" w14:textId="7A77A5F3" w:rsidR="006C014A" w:rsidRDefault="006C014A" w:rsidP="006C014A">
            <w:pPr>
              <w:pStyle w:val="ListParagraph"/>
              <w:tabs>
                <w:tab w:val="left" w:pos="800"/>
              </w:tabs>
              <w:ind w:left="2160"/>
              <w:jc w:val="both"/>
              <w:rPr>
                <w:rFonts w:ascii="Open Sans" w:eastAsia="Arial" w:hAnsi="Open Sans" w:cs="Arial"/>
                <w:bCs/>
                <w:sz w:val="22"/>
              </w:rPr>
            </w:pPr>
          </w:p>
          <w:p w14:paraId="5B265431" w14:textId="77777777" w:rsidR="006C014A" w:rsidRDefault="006C014A" w:rsidP="006C014A">
            <w:pPr>
              <w:pStyle w:val="ListParagraph"/>
              <w:tabs>
                <w:tab w:val="left" w:pos="800"/>
              </w:tabs>
              <w:ind w:left="2160"/>
              <w:jc w:val="both"/>
              <w:rPr>
                <w:rFonts w:ascii="Open Sans" w:eastAsia="Arial" w:hAnsi="Open Sans" w:cs="Arial"/>
                <w:bCs/>
                <w:sz w:val="22"/>
              </w:rPr>
            </w:pPr>
          </w:p>
          <w:p w14:paraId="512E7AB5" w14:textId="77777777" w:rsidR="006C014A" w:rsidRPr="006C014A" w:rsidRDefault="006C014A" w:rsidP="006C014A">
            <w:pPr>
              <w:pStyle w:val="ListParagraph"/>
              <w:tabs>
                <w:tab w:val="left" w:pos="800"/>
              </w:tabs>
              <w:ind w:left="2160"/>
              <w:jc w:val="both"/>
              <w:rPr>
                <w:rFonts w:ascii="Open Sans" w:eastAsia="Arial" w:hAnsi="Open Sans" w:cs="Arial"/>
                <w:bCs/>
                <w:sz w:val="22"/>
              </w:rPr>
            </w:pPr>
          </w:p>
          <w:p w14:paraId="56BDCF4F" w14:textId="77777777" w:rsidR="00CF2E7E" w:rsidRDefault="00CF2E7E" w:rsidP="006C014A">
            <w:pPr>
              <w:spacing w:before="120" w:after="120"/>
              <w:rPr>
                <w:rFonts w:ascii="Open Sans" w:hAnsi="Open Sans" w:cs="Open Sans"/>
                <w:sz w:val="22"/>
                <w:szCs w:val="22"/>
              </w:rPr>
            </w:pPr>
          </w:p>
          <w:p w14:paraId="174B15C4" w14:textId="77777777" w:rsidR="006C014A" w:rsidRDefault="006C014A" w:rsidP="006C014A">
            <w:pPr>
              <w:spacing w:before="120" w:after="120"/>
              <w:rPr>
                <w:rFonts w:ascii="Open Sans" w:hAnsi="Open Sans" w:cs="Open Sans"/>
                <w:sz w:val="22"/>
                <w:szCs w:val="22"/>
              </w:rPr>
            </w:pPr>
          </w:p>
          <w:p w14:paraId="58FBF1D3" w14:textId="77777777" w:rsidR="006C014A" w:rsidRPr="006C014A" w:rsidRDefault="006C014A" w:rsidP="006C014A">
            <w:pPr>
              <w:numPr>
                <w:ilvl w:val="0"/>
                <w:numId w:val="25"/>
              </w:numPr>
              <w:spacing w:before="120" w:after="120"/>
              <w:rPr>
                <w:rFonts w:ascii="Open Sans" w:hAnsi="Open Sans" w:cs="Open Sans"/>
                <w:bCs/>
                <w:sz w:val="22"/>
                <w:szCs w:val="22"/>
              </w:rPr>
            </w:pPr>
            <w:r w:rsidRPr="006C014A">
              <w:rPr>
                <w:rFonts w:ascii="Open Sans" w:hAnsi="Open Sans" w:cs="Open Sans"/>
                <w:bCs/>
                <w:sz w:val="22"/>
                <w:szCs w:val="22"/>
              </w:rPr>
              <w:t>Product Rule – 26 x .85 x .02 = .0044 or 0.44%, or less than 1 out of 200 people would be expected to have this combination of blood factors</w:t>
            </w:r>
          </w:p>
          <w:p w14:paraId="54790783" w14:textId="77777777" w:rsidR="006C014A" w:rsidRPr="006C014A" w:rsidRDefault="006C014A" w:rsidP="006C014A">
            <w:pPr>
              <w:spacing w:before="120" w:after="120"/>
              <w:rPr>
                <w:rFonts w:ascii="Open Sans" w:hAnsi="Open Sans" w:cs="Open Sans"/>
                <w:bCs/>
                <w:sz w:val="22"/>
                <w:szCs w:val="22"/>
              </w:rPr>
            </w:pPr>
          </w:p>
          <w:p w14:paraId="422220F4" w14:textId="77777777" w:rsidR="006C014A" w:rsidRPr="006C014A" w:rsidRDefault="006C014A" w:rsidP="006C014A">
            <w:pPr>
              <w:numPr>
                <w:ilvl w:val="0"/>
                <w:numId w:val="21"/>
              </w:numPr>
              <w:spacing w:before="120" w:after="120"/>
              <w:rPr>
                <w:rFonts w:ascii="Open Sans" w:hAnsi="Open Sans" w:cs="Open Sans"/>
                <w:bCs/>
                <w:sz w:val="22"/>
                <w:szCs w:val="22"/>
              </w:rPr>
            </w:pPr>
            <w:r w:rsidRPr="006C014A">
              <w:rPr>
                <w:rFonts w:ascii="Open Sans" w:hAnsi="Open Sans" w:cs="Open Sans"/>
                <w:bCs/>
                <w:sz w:val="22"/>
                <w:szCs w:val="22"/>
              </w:rPr>
              <w:t>Types of Evidence in Court</w:t>
            </w:r>
          </w:p>
          <w:p w14:paraId="32570DDA" w14:textId="77777777" w:rsidR="006C014A" w:rsidRPr="006C014A" w:rsidRDefault="006C014A" w:rsidP="006C014A">
            <w:pPr>
              <w:numPr>
                <w:ilvl w:val="0"/>
                <w:numId w:val="26"/>
              </w:numPr>
              <w:spacing w:before="120" w:after="120"/>
              <w:rPr>
                <w:rFonts w:ascii="Open Sans" w:hAnsi="Open Sans" w:cs="Open Sans"/>
                <w:bCs/>
                <w:sz w:val="22"/>
                <w:szCs w:val="22"/>
              </w:rPr>
            </w:pPr>
            <w:r w:rsidRPr="006C014A">
              <w:rPr>
                <w:rFonts w:ascii="Open Sans" w:hAnsi="Open Sans" w:cs="Open Sans"/>
                <w:bCs/>
                <w:sz w:val="22"/>
                <w:szCs w:val="22"/>
              </w:rPr>
              <w:t>Direct Evidence – evidence that establishes a fact</w:t>
            </w:r>
          </w:p>
          <w:p w14:paraId="50BB3C89" w14:textId="77777777" w:rsidR="006C014A" w:rsidRPr="006C014A" w:rsidRDefault="006C014A" w:rsidP="006C014A">
            <w:pPr>
              <w:numPr>
                <w:ilvl w:val="0"/>
                <w:numId w:val="27"/>
              </w:numPr>
              <w:spacing w:before="120" w:after="120"/>
              <w:rPr>
                <w:rFonts w:ascii="Open Sans" w:hAnsi="Open Sans" w:cs="Open Sans"/>
                <w:bCs/>
                <w:sz w:val="22"/>
                <w:szCs w:val="22"/>
              </w:rPr>
            </w:pPr>
            <w:r w:rsidRPr="006C014A">
              <w:rPr>
                <w:rFonts w:ascii="Open Sans" w:hAnsi="Open Sans" w:cs="Open Sans"/>
                <w:bCs/>
                <w:sz w:val="22"/>
                <w:szCs w:val="22"/>
              </w:rPr>
              <w:t>Eyewitness testimony or victim’s testimony</w:t>
            </w:r>
          </w:p>
          <w:p w14:paraId="3A0E3387" w14:textId="77777777" w:rsidR="006C014A" w:rsidRPr="006C014A" w:rsidRDefault="006C014A" w:rsidP="006C014A">
            <w:pPr>
              <w:numPr>
                <w:ilvl w:val="0"/>
                <w:numId w:val="27"/>
              </w:numPr>
              <w:spacing w:before="120" w:after="120"/>
              <w:rPr>
                <w:rFonts w:ascii="Open Sans" w:hAnsi="Open Sans" w:cs="Open Sans"/>
                <w:bCs/>
                <w:sz w:val="22"/>
                <w:szCs w:val="22"/>
              </w:rPr>
            </w:pPr>
            <w:r w:rsidRPr="006C014A">
              <w:rPr>
                <w:rFonts w:ascii="Open Sans" w:hAnsi="Open Sans" w:cs="Open Sans"/>
                <w:bCs/>
                <w:sz w:val="22"/>
                <w:szCs w:val="22"/>
              </w:rPr>
              <w:t>Confessions</w:t>
            </w:r>
          </w:p>
          <w:p w14:paraId="4DDBA120" w14:textId="77777777" w:rsidR="006C014A" w:rsidRPr="006C014A" w:rsidRDefault="006C014A" w:rsidP="006C014A">
            <w:pPr>
              <w:numPr>
                <w:ilvl w:val="0"/>
                <w:numId w:val="27"/>
              </w:numPr>
              <w:spacing w:before="120" w:after="120"/>
              <w:rPr>
                <w:rFonts w:ascii="Open Sans" w:hAnsi="Open Sans" w:cs="Open Sans"/>
                <w:bCs/>
                <w:sz w:val="22"/>
                <w:szCs w:val="22"/>
              </w:rPr>
            </w:pPr>
            <w:r w:rsidRPr="006C014A">
              <w:rPr>
                <w:rFonts w:ascii="Open Sans" w:hAnsi="Open Sans" w:cs="Open Sans"/>
                <w:bCs/>
                <w:sz w:val="22"/>
                <w:szCs w:val="22"/>
              </w:rPr>
              <w:t>Physical evidence found on a person</w:t>
            </w:r>
          </w:p>
          <w:p w14:paraId="7DC135B8" w14:textId="77777777" w:rsidR="006C014A" w:rsidRPr="006C014A" w:rsidRDefault="006C014A" w:rsidP="006C014A">
            <w:pPr>
              <w:numPr>
                <w:ilvl w:val="0"/>
                <w:numId w:val="27"/>
              </w:numPr>
              <w:spacing w:before="120" w:after="120"/>
              <w:rPr>
                <w:rFonts w:ascii="Open Sans" w:hAnsi="Open Sans" w:cs="Open Sans"/>
                <w:bCs/>
                <w:sz w:val="22"/>
                <w:szCs w:val="22"/>
              </w:rPr>
            </w:pPr>
            <w:r w:rsidRPr="006C014A">
              <w:rPr>
                <w:rFonts w:ascii="Open Sans" w:hAnsi="Open Sans" w:cs="Open Sans"/>
                <w:bCs/>
                <w:sz w:val="22"/>
                <w:szCs w:val="22"/>
              </w:rPr>
              <w:t>Audio or visual recording of the act or crime</w:t>
            </w:r>
          </w:p>
          <w:p w14:paraId="7836BFAA" w14:textId="77777777" w:rsidR="006C014A" w:rsidRPr="006C014A" w:rsidRDefault="006C014A" w:rsidP="006C014A">
            <w:pPr>
              <w:numPr>
                <w:ilvl w:val="0"/>
                <w:numId w:val="26"/>
              </w:numPr>
              <w:spacing w:before="120" w:after="120"/>
              <w:rPr>
                <w:rFonts w:ascii="Open Sans" w:hAnsi="Open Sans" w:cs="Open Sans"/>
                <w:bCs/>
                <w:sz w:val="22"/>
                <w:szCs w:val="22"/>
              </w:rPr>
            </w:pPr>
            <w:r w:rsidRPr="006C014A">
              <w:rPr>
                <w:rFonts w:ascii="Open Sans" w:hAnsi="Open Sans" w:cs="Open Sans"/>
                <w:bCs/>
                <w:sz w:val="22"/>
                <w:szCs w:val="22"/>
              </w:rPr>
              <w:t>Indirect Evidence</w:t>
            </w:r>
          </w:p>
          <w:p w14:paraId="6763C548" w14:textId="77777777" w:rsidR="006C014A" w:rsidRPr="006C014A" w:rsidRDefault="006C014A" w:rsidP="006C014A">
            <w:pPr>
              <w:numPr>
                <w:ilvl w:val="0"/>
                <w:numId w:val="28"/>
              </w:numPr>
              <w:spacing w:before="120" w:after="120"/>
              <w:rPr>
                <w:rFonts w:ascii="Open Sans" w:hAnsi="Open Sans" w:cs="Open Sans"/>
                <w:bCs/>
                <w:sz w:val="22"/>
                <w:szCs w:val="22"/>
              </w:rPr>
            </w:pPr>
            <w:r w:rsidRPr="006C014A">
              <w:rPr>
                <w:rFonts w:ascii="Open Sans" w:hAnsi="Open Sans" w:cs="Open Sans"/>
                <w:bCs/>
                <w:sz w:val="22"/>
                <w:szCs w:val="22"/>
              </w:rPr>
              <w:t>Circumstantial evidence</w:t>
            </w:r>
          </w:p>
          <w:p w14:paraId="799443FA" w14:textId="77777777" w:rsidR="006C014A" w:rsidRPr="006C014A" w:rsidRDefault="006C014A" w:rsidP="006C014A">
            <w:pPr>
              <w:numPr>
                <w:ilvl w:val="0"/>
                <w:numId w:val="29"/>
              </w:numPr>
              <w:spacing w:before="120" w:after="120"/>
              <w:rPr>
                <w:rFonts w:ascii="Open Sans" w:hAnsi="Open Sans" w:cs="Open Sans"/>
                <w:bCs/>
                <w:sz w:val="22"/>
                <w:szCs w:val="22"/>
              </w:rPr>
            </w:pPr>
            <w:r w:rsidRPr="006C014A">
              <w:rPr>
                <w:rFonts w:ascii="Open Sans" w:hAnsi="Open Sans" w:cs="Open Sans"/>
                <w:bCs/>
                <w:sz w:val="22"/>
                <w:szCs w:val="22"/>
              </w:rPr>
              <w:t>Requires that a judge and/or jury make inferences about what transpired at the scene of a crime</w:t>
            </w:r>
          </w:p>
          <w:p w14:paraId="4800D271" w14:textId="77777777" w:rsidR="006C014A" w:rsidRPr="006C014A" w:rsidRDefault="006C014A" w:rsidP="006C014A">
            <w:pPr>
              <w:numPr>
                <w:ilvl w:val="0"/>
                <w:numId w:val="29"/>
              </w:numPr>
              <w:spacing w:before="120" w:after="120"/>
              <w:rPr>
                <w:rFonts w:ascii="Open Sans" w:hAnsi="Open Sans" w:cs="Open Sans"/>
                <w:bCs/>
                <w:sz w:val="22"/>
                <w:szCs w:val="22"/>
              </w:rPr>
            </w:pPr>
            <w:r w:rsidRPr="006C014A">
              <w:rPr>
                <w:rFonts w:ascii="Open Sans" w:hAnsi="Open Sans" w:cs="Open Sans"/>
                <w:bCs/>
                <w:sz w:val="22"/>
                <w:szCs w:val="22"/>
              </w:rPr>
              <w:t>Not definitive proof</w:t>
            </w:r>
          </w:p>
          <w:p w14:paraId="6296265F" w14:textId="77777777" w:rsidR="006C014A" w:rsidRPr="006C014A" w:rsidRDefault="006C014A" w:rsidP="006C014A">
            <w:pPr>
              <w:numPr>
                <w:ilvl w:val="0"/>
                <w:numId w:val="29"/>
              </w:numPr>
              <w:spacing w:before="120" w:after="120"/>
              <w:rPr>
                <w:rFonts w:ascii="Open Sans" w:hAnsi="Open Sans" w:cs="Open Sans"/>
                <w:bCs/>
                <w:sz w:val="22"/>
                <w:szCs w:val="22"/>
              </w:rPr>
            </w:pPr>
            <w:r w:rsidRPr="006C014A">
              <w:rPr>
                <w:rFonts w:ascii="Open Sans" w:hAnsi="Open Sans" w:cs="Open Sans"/>
                <w:bCs/>
                <w:sz w:val="22"/>
                <w:szCs w:val="22"/>
              </w:rPr>
              <w:t>Physical evidence is nearly always circumstantial, so evidence analyzed forensically is mostly circumstantial evidence</w:t>
            </w:r>
          </w:p>
          <w:p w14:paraId="354AE4E0" w14:textId="77777777" w:rsidR="006C014A" w:rsidRPr="006C014A" w:rsidRDefault="006C014A" w:rsidP="006C014A">
            <w:pPr>
              <w:numPr>
                <w:ilvl w:val="0"/>
                <w:numId w:val="29"/>
              </w:numPr>
              <w:spacing w:before="120" w:after="120"/>
              <w:rPr>
                <w:rFonts w:ascii="Open Sans" w:hAnsi="Open Sans" w:cs="Open Sans"/>
                <w:bCs/>
                <w:sz w:val="22"/>
                <w:szCs w:val="22"/>
              </w:rPr>
            </w:pPr>
            <w:r w:rsidRPr="006C014A">
              <w:rPr>
                <w:rFonts w:ascii="Open Sans" w:hAnsi="Open Sans" w:cs="Open Sans"/>
                <w:bCs/>
                <w:sz w:val="22"/>
                <w:szCs w:val="22"/>
              </w:rPr>
              <w:t>Inference example – fingerprints or hairs found at the scene are consistent with that of a perpetrator; jurors may infer that the print or hair belongs to the defendant after this evidence is presented, linking the defendant to the scene</w:t>
            </w:r>
          </w:p>
          <w:p w14:paraId="153B4177" w14:textId="77777777" w:rsidR="006C014A" w:rsidRPr="006C014A" w:rsidRDefault="006C014A" w:rsidP="006C014A">
            <w:pPr>
              <w:numPr>
                <w:ilvl w:val="0"/>
                <w:numId w:val="26"/>
              </w:numPr>
              <w:spacing w:before="120" w:after="120"/>
              <w:rPr>
                <w:rFonts w:ascii="Open Sans" w:hAnsi="Open Sans" w:cs="Open Sans"/>
                <w:bCs/>
                <w:sz w:val="22"/>
                <w:szCs w:val="22"/>
              </w:rPr>
            </w:pPr>
            <w:r w:rsidRPr="006C014A">
              <w:rPr>
                <w:rFonts w:ascii="Open Sans" w:hAnsi="Open Sans" w:cs="Open Sans"/>
                <w:bCs/>
                <w:sz w:val="22"/>
                <w:szCs w:val="22"/>
              </w:rPr>
              <w:t>Comparison between the Influence of Direct and Indirect Evidence</w:t>
            </w:r>
          </w:p>
          <w:p w14:paraId="1D4B2EC6" w14:textId="77777777" w:rsidR="006C014A" w:rsidRPr="006C014A" w:rsidRDefault="006C014A" w:rsidP="006C014A">
            <w:pPr>
              <w:numPr>
                <w:ilvl w:val="0"/>
                <w:numId w:val="30"/>
              </w:numPr>
              <w:spacing w:before="120" w:after="120"/>
              <w:rPr>
                <w:rFonts w:ascii="Open Sans" w:hAnsi="Open Sans" w:cs="Open Sans"/>
                <w:bCs/>
                <w:sz w:val="22"/>
                <w:szCs w:val="22"/>
              </w:rPr>
            </w:pPr>
            <w:r w:rsidRPr="006C014A">
              <w:rPr>
                <w:rFonts w:ascii="Open Sans" w:hAnsi="Open Sans" w:cs="Open Sans"/>
                <w:bCs/>
                <w:sz w:val="22"/>
                <w:szCs w:val="22"/>
              </w:rPr>
              <w:t>Circumstantial evidence is more objective, while direct evidence is subjective</w:t>
            </w:r>
          </w:p>
          <w:p w14:paraId="684E32C6" w14:textId="77777777" w:rsidR="006C014A" w:rsidRPr="006C014A" w:rsidRDefault="006C014A" w:rsidP="006C014A">
            <w:pPr>
              <w:numPr>
                <w:ilvl w:val="0"/>
                <w:numId w:val="30"/>
              </w:numPr>
              <w:spacing w:before="120" w:after="120"/>
              <w:rPr>
                <w:rFonts w:ascii="Open Sans" w:hAnsi="Open Sans" w:cs="Open Sans"/>
                <w:bCs/>
                <w:sz w:val="22"/>
                <w:szCs w:val="22"/>
              </w:rPr>
            </w:pPr>
            <w:r w:rsidRPr="006C014A">
              <w:rPr>
                <w:rFonts w:ascii="Open Sans" w:hAnsi="Open Sans" w:cs="Open Sans"/>
                <w:bCs/>
                <w:sz w:val="22"/>
                <w:szCs w:val="22"/>
              </w:rPr>
              <w:t>In general, direct evidence is not considered to be as reliable as circumstantial evidence</w:t>
            </w:r>
          </w:p>
          <w:p w14:paraId="1AFED5C3" w14:textId="77777777" w:rsidR="006C014A" w:rsidRPr="006C014A" w:rsidRDefault="006C014A" w:rsidP="006C014A">
            <w:pPr>
              <w:numPr>
                <w:ilvl w:val="0"/>
                <w:numId w:val="31"/>
              </w:numPr>
              <w:spacing w:before="120" w:after="120"/>
              <w:rPr>
                <w:rFonts w:ascii="Open Sans" w:hAnsi="Open Sans" w:cs="Open Sans"/>
                <w:bCs/>
                <w:sz w:val="22"/>
                <w:szCs w:val="22"/>
              </w:rPr>
            </w:pPr>
            <w:r w:rsidRPr="006C014A">
              <w:rPr>
                <w:rFonts w:ascii="Open Sans" w:hAnsi="Open Sans" w:cs="Open Sans"/>
                <w:bCs/>
                <w:sz w:val="22"/>
                <w:szCs w:val="22"/>
              </w:rPr>
              <w:t>Eyewitnesses can be deficient when identifying perpetrators or remembering certain events</w:t>
            </w:r>
          </w:p>
          <w:p w14:paraId="3D5B48AC" w14:textId="77777777" w:rsidR="006C014A" w:rsidRPr="006C014A" w:rsidRDefault="006C014A" w:rsidP="006C014A">
            <w:pPr>
              <w:numPr>
                <w:ilvl w:val="0"/>
                <w:numId w:val="31"/>
              </w:numPr>
              <w:spacing w:before="120" w:after="120"/>
              <w:rPr>
                <w:rFonts w:ascii="Open Sans" w:hAnsi="Open Sans" w:cs="Open Sans"/>
                <w:bCs/>
                <w:sz w:val="22"/>
                <w:szCs w:val="22"/>
              </w:rPr>
            </w:pPr>
            <w:r w:rsidRPr="006C014A">
              <w:rPr>
                <w:rFonts w:ascii="Open Sans" w:hAnsi="Open Sans" w:cs="Open Sans"/>
                <w:bCs/>
                <w:sz w:val="22"/>
                <w:szCs w:val="22"/>
              </w:rPr>
              <w:t>Flawed questioning techniques can lead to erroneous testimony and confessions</w:t>
            </w:r>
          </w:p>
          <w:p w14:paraId="71FFB61D" w14:textId="77777777" w:rsidR="006C014A" w:rsidRPr="006C014A" w:rsidRDefault="006C014A" w:rsidP="006C014A">
            <w:pPr>
              <w:numPr>
                <w:ilvl w:val="0"/>
                <w:numId w:val="31"/>
              </w:numPr>
              <w:spacing w:before="120" w:after="120"/>
              <w:rPr>
                <w:rFonts w:ascii="Open Sans" w:hAnsi="Open Sans" w:cs="Open Sans"/>
                <w:bCs/>
                <w:sz w:val="22"/>
                <w:szCs w:val="22"/>
              </w:rPr>
            </w:pPr>
            <w:r w:rsidRPr="006C014A">
              <w:rPr>
                <w:rFonts w:ascii="Open Sans" w:hAnsi="Open Sans" w:cs="Open Sans"/>
                <w:bCs/>
                <w:sz w:val="22"/>
                <w:szCs w:val="22"/>
              </w:rPr>
              <w:t>The age of the eyewitness and the passing of time since the event can also lead to faulty testimony</w:t>
            </w:r>
          </w:p>
          <w:p w14:paraId="79FA693F" w14:textId="77777777" w:rsidR="006C014A" w:rsidRPr="006C014A" w:rsidRDefault="006C014A" w:rsidP="006C014A">
            <w:pPr>
              <w:numPr>
                <w:ilvl w:val="0"/>
                <w:numId w:val="30"/>
              </w:numPr>
              <w:spacing w:before="120" w:after="120"/>
              <w:rPr>
                <w:rFonts w:ascii="Open Sans" w:hAnsi="Open Sans" w:cs="Open Sans"/>
                <w:bCs/>
                <w:sz w:val="22"/>
                <w:szCs w:val="22"/>
              </w:rPr>
            </w:pPr>
            <w:r w:rsidRPr="006C014A">
              <w:rPr>
                <w:rFonts w:ascii="Open Sans" w:hAnsi="Open Sans" w:cs="Open Sans"/>
                <w:bCs/>
                <w:sz w:val="22"/>
                <w:szCs w:val="22"/>
              </w:rPr>
              <w:t>Court research comparing the impact of the type of evidence differs in its results</w:t>
            </w:r>
          </w:p>
          <w:p w14:paraId="16A499B0" w14:textId="77777777" w:rsidR="006C014A" w:rsidRPr="006C014A" w:rsidRDefault="006C014A" w:rsidP="006C014A">
            <w:pPr>
              <w:numPr>
                <w:ilvl w:val="0"/>
                <w:numId w:val="32"/>
              </w:numPr>
              <w:spacing w:before="120" w:after="120"/>
              <w:rPr>
                <w:rFonts w:ascii="Open Sans" w:hAnsi="Open Sans" w:cs="Open Sans"/>
                <w:bCs/>
                <w:sz w:val="22"/>
                <w:szCs w:val="22"/>
              </w:rPr>
            </w:pPr>
            <w:r w:rsidRPr="006C014A">
              <w:rPr>
                <w:rFonts w:ascii="Open Sans" w:hAnsi="Open Sans" w:cs="Open Sans"/>
                <w:bCs/>
                <w:sz w:val="22"/>
                <w:szCs w:val="22"/>
              </w:rPr>
              <w:t>Some research says direct (eyewitness) evidence has a stronger impact on the jury</w:t>
            </w:r>
          </w:p>
          <w:p w14:paraId="43A8BBE5" w14:textId="77777777" w:rsidR="006C014A" w:rsidRPr="006C014A" w:rsidRDefault="006C014A" w:rsidP="006C014A">
            <w:pPr>
              <w:numPr>
                <w:ilvl w:val="0"/>
                <w:numId w:val="32"/>
              </w:numPr>
              <w:spacing w:before="120" w:after="120"/>
              <w:rPr>
                <w:rFonts w:ascii="Open Sans" w:hAnsi="Open Sans" w:cs="Open Sans"/>
                <w:bCs/>
                <w:sz w:val="22"/>
                <w:szCs w:val="22"/>
              </w:rPr>
            </w:pPr>
            <w:r w:rsidRPr="006C014A">
              <w:rPr>
                <w:rFonts w:ascii="Open Sans" w:hAnsi="Open Sans" w:cs="Open Sans"/>
                <w:bCs/>
                <w:sz w:val="22"/>
                <w:szCs w:val="22"/>
              </w:rPr>
              <w:t>At other times, physical evidence was considered more valid by jurors</w:t>
            </w:r>
          </w:p>
          <w:p w14:paraId="3B3D1A8E" w14:textId="77777777" w:rsidR="006C014A" w:rsidRPr="006C014A" w:rsidRDefault="006C014A" w:rsidP="006C014A">
            <w:pPr>
              <w:numPr>
                <w:ilvl w:val="0"/>
                <w:numId w:val="32"/>
              </w:numPr>
              <w:spacing w:before="120" w:after="120"/>
              <w:rPr>
                <w:rFonts w:ascii="Open Sans" w:hAnsi="Open Sans" w:cs="Open Sans"/>
                <w:bCs/>
                <w:sz w:val="22"/>
                <w:szCs w:val="22"/>
              </w:rPr>
            </w:pPr>
            <w:r w:rsidRPr="006C014A">
              <w:rPr>
                <w:rFonts w:ascii="Open Sans" w:hAnsi="Open Sans" w:cs="Open Sans"/>
                <w:bCs/>
                <w:sz w:val="22"/>
                <w:szCs w:val="22"/>
              </w:rPr>
              <w:t>Some studies suggest that having both types of evidence is no more compelling than having strong evidence of only one type</w:t>
            </w:r>
          </w:p>
          <w:p w14:paraId="323095AD" w14:textId="77777777" w:rsidR="006C014A" w:rsidRPr="006C014A" w:rsidRDefault="006C014A" w:rsidP="006C014A">
            <w:pPr>
              <w:numPr>
                <w:ilvl w:val="0"/>
                <w:numId w:val="30"/>
              </w:numPr>
              <w:spacing w:before="120" w:after="120"/>
              <w:rPr>
                <w:rFonts w:ascii="Open Sans" w:hAnsi="Open Sans" w:cs="Open Sans"/>
                <w:bCs/>
                <w:sz w:val="22"/>
                <w:szCs w:val="22"/>
              </w:rPr>
            </w:pPr>
            <w:r w:rsidRPr="006C014A">
              <w:rPr>
                <w:rFonts w:ascii="Open Sans" w:hAnsi="Open Sans" w:cs="Open Sans"/>
                <w:bCs/>
                <w:sz w:val="22"/>
                <w:szCs w:val="22"/>
              </w:rPr>
              <w:t>The forensic scientist should</w:t>
            </w:r>
          </w:p>
          <w:p w14:paraId="0CEACA65" w14:textId="77777777" w:rsidR="006C014A" w:rsidRPr="006C014A" w:rsidRDefault="006C014A" w:rsidP="006C014A">
            <w:pPr>
              <w:numPr>
                <w:ilvl w:val="0"/>
                <w:numId w:val="33"/>
              </w:numPr>
              <w:spacing w:before="120" w:after="120"/>
              <w:rPr>
                <w:rFonts w:ascii="Open Sans" w:hAnsi="Open Sans" w:cs="Open Sans"/>
                <w:bCs/>
                <w:sz w:val="22"/>
                <w:szCs w:val="22"/>
              </w:rPr>
            </w:pPr>
            <w:r w:rsidRPr="006C014A">
              <w:rPr>
                <w:rFonts w:ascii="Open Sans" w:hAnsi="Open Sans" w:cs="Open Sans"/>
                <w:bCs/>
                <w:sz w:val="22"/>
                <w:szCs w:val="22"/>
              </w:rPr>
              <w:t>Always be aware of the persuasive nature of eyewitness testimony</w:t>
            </w:r>
          </w:p>
          <w:p w14:paraId="26632F2D" w14:textId="77777777" w:rsidR="006C014A" w:rsidRPr="006C014A" w:rsidRDefault="006C014A" w:rsidP="006C014A">
            <w:pPr>
              <w:numPr>
                <w:ilvl w:val="0"/>
                <w:numId w:val="33"/>
              </w:numPr>
              <w:spacing w:before="120" w:after="120"/>
              <w:rPr>
                <w:rFonts w:ascii="Open Sans" w:hAnsi="Open Sans" w:cs="Open Sans"/>
                <w:bCs/>
                <w:sz w:val="22"/>
                <w:szCs w:val="22"/>
              </w:rPr>
            </w:pPr>
            <w:r w:rsidRPr="006C014A">
              <w:rPr>
                <w:rFonts w:ascii="Open Sans" w:hAnsi="Open Sans" w:cs="Open Sans"/>
                <w:bCs/>
                <w:sz w:val="22"/>
                <w:szCs w:val="22"/>
              </w:rPr>
              <w:t>In no way allow that to interfere with the scientific method when</w:t>
            </w:r>
          </w:p>
          <w:p w14:paraId="4615AAD0" w14:textId="77777777" w:rsidR="006C014A" w:rsidRPr="006C014A" w:rsidRDefault="006C014A" w:rsidP="006C014A">
            <w:pPr>
              <w:numPr>
                <w:ilvl w:val="0"/>
                <w:numId w:val="33"/>
              </w:numPr>
              <w:spacing w:before="120" w:after="120"/>
              <w:rPr>
                <w:rFonts w:ascii="Open Sans" w:hAnsi="Open Sans" w:cs="Open Sans"/>
                <w:bCs/>
                <w:sz w:val="22"/>
                <w:szCs w:val="22"/>
              </w:rPr>
            </w:pPr>
            <w:r w:rsidRPr="006C014A">
              <w:rPr>
                <w:rFonts w:ascii="Open Sans" w:hAnsi="Open Sans" w:cs="Open Sans"/>
                <w:bCs/>
                <w:sz w:val="22"/>
                <w:szCs w:val="22"/>
              </w:rPr>
              <w:t>Analyze physical evidence</w:t>
            </w:r>
          </w:p>
          <w:p w14:paraId="4846C2C1" w14:textId="77777777" w:rsidR="006C014A" w:rsidRPr="006C014A" w:rsidRDefault="006C014A" w:rsidP="006C014A">
            <w:pPr>
              <w:numPr>
                <w:ilvl w:val="0"/>
                <w:numId w:val="33"/>
              </w:numPr>
              <w:spacing w:before="120" w:after="120"/>
              <w:rPr>
                <w:rFonts w:ascii="Open Sans" w:hAnsi="Open Sans" w:cs="Open Sans"/>
                <w:bCs/>
                <w:sz w:val="22"/>
                <w:szCs w:val="22"/>
              </w:rPr>
            </w:pPr>
            <w:r w:rsidRPr="006C014A">
              <w:rPr>
                <w:rFonts w:ascii="Open Sans" w:hAnsi="Open Sans" w:cs="Open Sans"/>
                <w:bCs/>
                <w:sz w:val="22"/>
                <w:szCs w:val="22"/>
              </w:rPr>
              <w:t>Develop a hypothesis when investigating a crime</w:t>
            </w:r>
          </w:p>
          <w:p w14:paraId="5DAA541B" w14:textId="77777777" w:rsidR="006C014A" w:rsidRPr="006C014A" w:rsidRDefault="006C014A" w:rsidP="006C014A">
            <w:pPr>
              <w:numPr>
                <w:ilvl w:val="0"/>
                <w:numId w:val="33"/>
              </w:numPr>
              <w:spacing w:before="120" w:after="120"/>
              <w:rPr>
                <w:rFonts w:ascii="Open Sans" w:hAnsi="Open Sans" w:cs="Open Sans"/>
                <w:bCs/>
                <w:sz w:val="22"/>
                <w:szCs w:val="22"/>
              </w:rPr>
            </w:pPr>
            <w:r w:rsidRPr="006C014A">
              <w:rPr>
                <w:rFonts w:ascii="Open Sans" w:hAnsi="Open Sans" w:cs="Open Sans"/>
                <w:bCs/>
                <w:sz w:val="22"/>
                <w:szCs w:val="22"/>
              </w:rPr>
              <w:t>The direct evidence of a police officer’s testimony (concerning the source of evidence, documentation, and chain of custody) corroborates and strengthens the probative value of physical evidence</w:t>
            </w:r>
          </w:p>
          <w:p w14:paraId="6A698286" w14:textId="77777777" w:rsidR="006C014A" w:rsidRPr="006C014A" w:rsidRDefault="006C014A" w:rsidP="006C014A">
            <w:pPr>
              <w:spacing w:before="120" w:after="120"/>
              <w:rPr>
                <w:rFonts w:ascii="Open Sans" w:hAnsi="Open Sans" w:cs="Open Sans"/>
                <w:bCs/>
                <w:sz w:val="22"/>
                <w:szCs w:val="22"/>
              </w:rPr>
            </w:pPr>
          </w:p>
          <w:p w14:paraId="6CC12C0A" w14:textId="77777777" w:rsidR="006C014A" w:rsidRPr="006C014A" w:rsidRDefault="006C014A" w:rsidP="006C014A">
            <w:pPr>
              <w:numPr>
                <w:ilvl w:val="0"/>
                <w:numId w:val="21"/>
              </w:numPr>
              <w:spacing w:before="120" w:after="120"/>
              <w:rPr>
                <w:rFonts w:ascii="Open Sans" w:hAnsi="Open Sans" w:cs="Open Sans"/>
                <w:bCs/>
                <w:sz w:val="22"/>
                <w:szCs w:val="22"/>
              </w:rPr>
            </w:pPr>
            <w:r w:rsidRPr="006C014A">
              <w:rPr>
                <w:rFonts w:ascii="Open Sans" w:hAnsi="Open Sans" w:cs="Open Sans"/>
                <w:bCs/>
                <w:sz w:val="22"/>
                <w:szCs w:val="22"/>
              </w:rPr>
              <w:t>Categories of Physical Evidence</w:t>
            </w:r>
          </w:p>
          <w:p w14:paraId="49C361E9" w14:textId="77777777" w:rsidR="006C014A" w:rsidRPr="006C014A" w:rsidRDefault="006C014A" w:rsidP="006C014A">
            <w:pPr>
              <w:numPr>
                <w:ilvl w:val="0"/>
                <w:numId w:val="34"/>
              </w:numPr>
              <w:spacing w:before="120" w:after="120"/>
              <w:rPr>
                <w:rFonts w:ascii="Open Sans" w:hAnsi="Open Sans" w:cs="Open Sans"/>
                <w:bCs/>
                <w:sz w:val="22"/>
                <w:szCs w:val="22"/>
              </w:rPr>
            </w:pPr>
            <w:r w:rsidRPr="006C014A">
              <w:rPr>
                <w:rFonts w:ascii="Open Sans" w:hAnsi="Open Sans" w:cs="Open Sans"/>
                <w:bCs/>
                <w:sz w:val="22"/>
                <w:szCs w:val="22"/>
              </w:rPr>
              <w:t>Individual Evidence – evidence that can be linked to a unique, specific source with a very high degree of probability</w:t>
            </w:r>
          </w:p>
          <w:p w14:paraId="678FFF3C" w14:textId="77777777" w:rsidR="006C014A" w:rsidRPr="006C014A" w:rsidRDefault="006C014A" w:rsidP="006C014A">
            <w:pPr>
              <w:numPr>
                <w:ilvl w:val="0"/>
                <w:numId w:val="35"/>
              </w:numPr>
              <w:spacing w:before="120" w:after="120"/>
              <w:rPr>
                <w:rFonts w:ascii="Open Sans" w:hAnsi="Open Sans" w:cs="Open Sans"/>
                <w:bCs/>
                <w:sz w:val="22"/>
                <w:szCs w:val="22"/>
              </w:rPr>
            </w:pPr>
            <w:r w:rsidRPr="006C014A">
              <w:rPr>
                <w:rFonts w:ascii="Open Sans" w:hAnsi="Open Sans" w:cs="Open Sans"/>
                <w:bCs/>
                <w:sz w:val="22"/>
                <w:szCs w:val="22"/>
              </w:rPr>
              <w:t>Examples</w:t>
            </w:r>
          </w:p>
          <w:p w14:paraId="1A3F879A" w14:textId="77777777" w:rsidR="006C014A" w:rsidRPr="006C014A" w:rsidRDefault="006C014A" w:rsidP="006C014A">
            <w:pPr>
              <w:numPr>
                <w:ilvl w:val="0"/>
                <w:numId w:val="36"/>
              </w:numPr>
              <w:spacing w:before="120" w:after="120"/>
              <w:rPr>
                <w:rFonts w:ascii="Open Sans" w:hAnsi="Open Sans" w:cs="Open Sans"/>
                <w:bCs/>
                <w:sz w:val="22"/>
                <w:szCs w:val="22"/>
              </w:rPr>
            </w:pPr>
            <w:r w:rsidRPr="006C014A">
              <w:rPr>
                <w:rFonts w:ascii="Open Sans" w:hAnsi="Open Sans" w:cs="Open Sans"/>
                <w:bCs/>
                <w:sz w:val="22"/>
                <w:szCs w:val="22"/>
              </w:rPr>
              <w:t>Matching ridge characteristics of fingerprints</w:t>
            </w:r>
          </w:p>
          <w:p w14:paraId="1241DA84" w14:textId="77777777" w:rsidR="006C014A" w:rsidRPr="006C014A" w:rsidRDefault="006C014A" w:rsidP="006C014A">
            <w:pPr>
              <w:numPr>
                <w:ilvl w:val="0"/>
                <w:numId w:val="36"/>
              </w:numPr>
              <w:spacing w:before="120" w:after="120"/>
              <w:rPr>
                <w:rFonts w:ascii="Open Sans" w:hAnsi="Open Sans" w:cs="Open Sans"/>
                <w:bCs/>
                <w:sz w:val="22"/>
                <w:szCs w:val="22"/>
              </w:rPr>
            </w:pPr>
            <w:r w:rsidRPr="006C014A">
              <w:rPr>
                <w:rFonts w:ascii="Open Sans" w:hAnsi="Open Sans" w:cs="Open Sans"/>
                <w:bCs/>
                <w:sz w:val="22"/>
                <w:szCs w:val="22"/>
              </w:rPr>
              <w:t>Matching striations of two different bullets from the same gun</w:t>
            </w:r>
          </w:p>
          <w:p w14:paraId="0368BCF1" w14:textId="77777777" w:rsidR="006C014A" w:rsidRPr="006C014A" w:rsidRDefault="006C014A" w:rsidP="006C014A">
            <w:pPr>
              <w:numPr>
                <w:ilvl w:val="0"/>
                <w:numId w:val="36"/>
              </w:numPr>
              <w:spacing w:before="120" w:after="120"/>
              <w:rPr>
                <w:rFonts w:ascii="Open Sans" w:hAnsi="Open Sans" w:cs="Open Sans"/>
                <w:bCs/>
                <w:sz w:val="22"/>
                <w:szCs w:val="22"/>
              </w:rPr>
            </w:pPr>
            <w:r w:rsidRPr="006C014A">
              <w:rPr>
                <w:rFonts w:ascii="Open Sans" w:hAnsi="Open Sans" w:cs="Open Sans"/>
                <w:bCs/>
                <w:sz w:val="22"/>
                <w:szCs w:val="22"/>
              </w:rPr>
              <w:t>The irregular edges of a broken object (paper, glass, etc.) that fit together like a jigsaw puzzle (this type of evidence is not found very often)</w:t>
            </w:r>
          </w:p>
          <w:p w14:paraId="64252BDC" w14:textId="77777777" w:rsidR="006C014A" w:rsidRPr="006C014A" w:rsidRDefault="006C014A" w:rsidP="006C014A">
            <w:pPr>
              <w:numPr>
                <w:ilvl w:val="0"/>
                <w:numId w:val="34"/>
              </w:numPr>
              <w:spacing w:before="120" w:after="120"/>
              <w:rPr>
                <w:rFonts w:ascii="Open Sans" w:hAnsi="Open Sans" w:cs="Open Sans"/>
                <w:bCs/>
                <w:sz w:val="22"/>
                <w:szCs w:val="22"/>
              </w:rPr>
            </w:pPr>
            <w:r w:rsidRPr="006C014A">
              <w:rPr>
                <w:rFonts w:ascii="Open Sans" w:hAnsi="Open Sans" w:cs="Open Sans"/>
                <w:bCs/>
                <w:sz w:val="22"/>
                <w:szCs w:val="22"/>
              </w:rPr>
              <w:t>Class Evidence – evidence that can only be associated with a group and never a single source</w:t>
            </w:r>
          </w:p>
          <w:p w14:paraId="01108D9D" w14:textId="77777777" w:rsidR="006C014A" w:rsidRPr="006C014A" w:rsidRDefault="006C014A" w:rsidP="006C014A">
            <w:pPr>
              <w:numPr>
                <w:ilvl w:val="0"/>
                <w:numId w:val="37"/>
              </w:numPr>
              <w:spacing w:before="120" w:after="120"/>
              <w:rPr>
                <w:rFonts w:ascii="Open Sans" w:hAnsi="Open Sans" w:cs="Open Sans"/>
                <w:bCs/>
                <w:sz w:val="22"/>
                <w:szCs w:val="22"/>
              </w:rPr>
            </w:pPr>
            <w:r w:rsidRPr="006C014A">
              <w:rPr>
                <w:rFonts w:ascii="Open Sans" w:hAnsi="Open Sans" w:cs="Open Sans"/>
                <w:bCs/>
                <w:sz w:val="22"/>
                <w:szCs w:val="22"/>
              </w:rPr>
              <w:t>The way to increase the probative value of class evidence is to find as many different types of class evidence as possible to link the suspect to the crime</w:t>
            </w:r>
          </w:p>
          <w:p w14:paraId="731568B8" w14:textId="77777777" w:rsidR="006C014A" w:rsidRPr="006C014A" w:rsidRDefault="006C014A" w:rsidP="006C014A">
            <w:pPr>
              <w:spacing w:before="120" w:after="120"/>
              <w:rPr>
                <w:rFonts w:ascii="Open Sans" w:hAnsi="Open Sans" w:cs="Open Sans"/>
                <w:bCs/>
                <w:sz w:val="22"/>
                <w:szCs w:val="22"/>
              </w:rPr>
            </w:pPr>
          </w:p>
          <w:p w14:paraId="175F4CE3" w14:textId="55B8E151" w:rsidR="006C014A" w:rsidRPr="006C014A" w:rsidRDefault="006C014A" w:rsidP="006C014A">
            <w:pPr>
              <w:numPr>
                <w:ilvl w:val="0"/>
                <w:numId w:val="21"/>
              </w:numPr>
              <w:spacing w:before="120" w:after="120"/>
              <w:rPr>
                <w:rFonts w:ascii="Open Sans" w:hAnsi="Open Sans" w:cs="Open Sans"/>
                <w:bCs/>
                <w:sz w:val="22"/>
                <w:szCs w:val="22"/>
              </w:rPr>
            </w:pPr>
            <w:r w:rsidRPr="006C014A">
              <w:rPr>
                <w:rFonts w:ascii="Open Sans" w:hAnsi="Open Sans" w:cs="Open Sans"/>
                <w:bCs/>
                <w:sz w:val="22"/>
                <w:szCs w:val="22"/>
              </w:rPr>
              <w:t xml:space="preserve">Evidence Admissibility </w:t>
            </w:r>
            <w:r w:rsidR="00392787" w:rsidRPr="006C014A">
              <w:rPr>
                <w:rFonts w:ascii="Open Sans" w:hAnsi="Open Sans" w:cs="Open Sans"/>
                <w:bCs/>
                <w:sz w:val="22"/>
                <w:szCs w:val="22"/>
              </w:rPr>
              <w:t>in</w:t>
            </w:r>
            <w:r w:rsidRPr="006C014A">
              <w:rPr>
                <w:rFonts w:ascii="Open Sans" w:hAnsi="Open Sans" w:cs="Open Sans"/>
                <w:bCs/>
                <w:sz w:val="22"/>
                <w:szCs w:val="22"/>
              </w:rPr>
              <w:t xml:space="preserve"> a Court of Law – not only will the court compare the Bill of Rights to how evidence was collected, but there are court precedents that determine the admissibility of scientific results and how those results are explained in court</w:t>
            </w:r>
          </w:p>
          <w:p w14:paraId="3E157103" w14:textId="77777777" w:rsidR="006C014A" w:rsidRPr="006C014A" w:rsidRDefault="006C014A" w:rsidP="006C014A">
            <w:pPr>
              <w:numPr>
                <w:ilvl w:val="0"/>
                <w:numId w:val="38"/>
              </w:numPr>
              <w:spacing w:before="120" w:after="120"/>
              <w:rPr>
                <w:rFonts w:ascii="Open Sans" w:hAnsi="Open Sans" w:cs="Open Sans"/>
                <w:bCs/>
                <w:sz w:val="22"/>
                <w:szCs w:val="22"/>
              </w:rPr>
            </w:pPr>
            <w:r w:rsidRPr="006C014A">
              <w:rPr>
                <w:rFonts w:ascii="Open Sans" w:hAnsi="Open Sans" w:cs="Open Sans"/>
                <w:bCs/>
                <w:sz w:val="22"/>
                <w:szCs w:val="22"/>
              </w:rPr>
              <w:t>Frye v. United States, 1923 – The Frye Standard: the questioned scientific procedure or principles must be “generally accepted” by a majority of the scientific community</w:t>
            </w:r>
          </w:p>
          <w:p w14:paraId="579D640B" w14:textId="77777777" w:rsidR="006C014A" w:rsidRPr="006C014A" w:rsidRDefault="006C014A" w:rsidP="006C014A">
            <w:pPr>
              <w:numPr>
                <w:ilvl w:val="0"/>
                <w:numId w:val="38"/>
              </w:numPr>
              <w:spacing w:before="120" w:after="120"/>
              <w:rPr>
                <w:rFonts w:ascii="Open Sans" w:hAnsi="Open Sans" w:cs="Open Sans"/>
                <w:bCs/>
                <w:sz w:val="22"/>
                <w:szCs w:val="22"/>
              </w:rPr>
            </w:pPr>
            <w:r w:rsidRPr="006C014A">
              <w:rPr>
                <w:rFonts w:ascii="Open Sans" w:hAnsi="Open Sans" w:cs="Open Sans"/>
                <w:bCs/>
                <w:sz w:val="22"/>
                <w:szCs w:val="22"/>
              </w:rPr>
              <w:t>Daughbert v. Merrell Dow Pharmaceuticals, 1993</w:t>
            </w:r>
          </w:p>
          <w:p w14:paraId="4C13DFAC" w14:textId="77777777" w:rsidR="006C014A" w:rsidRPr="006C014A" w:rsidRDefault="006C014A" w:rsidP="006C014A">
            <w:pPr>
              <w:numPr>
                <w:ilvl w:val="0"/>
                <w:numId w:val="39"/>
              </w:numPr>
              <w:spacing w:before="120" w:after="120"/>
              <w:rPr>
                <w:rFonts w:ascii="Open Sans" w:hAnsi="Open Sans" w:cs="Open Sans"/>
                <w:bCs/>
                <w:sz w:val="22"/>
                <w:szCs w:val="22"/>
              </w:rPr>
            </w:pPr>
            <w:r w:rsidRPr="006C014A">
              <w:rPr>
                <w:rFonts w:ascii="Open Sans" w:hAnsi="Open Sans" w:cs="Open Sans"/>
                <w:bCs/>
                <w:sz w:val="22"/>
                <w:szCs w:val="22"/>
              </w:rPr>
              <w:t>Verdict replaced the Frye Standard</w:t>
            </w:r>
          </w:p>
          <w:p w14:paraId="3178B5FB" w14:textId="77777777" w:rsidR="006C014A" w:rsidRPr="006C014A" w:rsidRDefault="006C014A" w:rsidP="006C014A">
            <w:pPr>
              <w:numPr>
                <w:ilvl w:val="0"/>
                <w:numId w:val="39"/>
              </w:numPr>
              <w:spacing w:before="120" w:after="120"/>
              <w:rPr>
                <w:rFonts w:ascii="Open Sans" w:hAnsi="Open Sans" w:cs="Open Sans"/>
                <w:bCs/>
                <w:sz w:val="22"/>
                <w:szCs w:val="22"/>
              </w:rPr>
            </w:pPr>
            <w:r w:rsidRPr="006C014A">
              <w:rPr>
                <w:rFonts w:ascii="Open Sans" w:hAnsi="Open Sans" w:cs="Open Sans"/>
                <w:bCs/>
                <w:sz w:val="22"/>
                <w:szCs w:val="22"/>
              </w:rPr>
              <w:t>Areas of inquiry by the judge acting as the gatekeeper</w:t>
            </w:r>
          </w:p>
          <w:p w14:paraId="7EEA389E" w14:textId="77777777" w:rsidR="006C014A" w:rsidRPr="006C014A" w:rsidRDefault="006C014A" w:rsidP="006C014A">
            <w:pPr>
              <w:numPr>
                <w:ilvl w:val="0"/>
                <w:numId w:val="40"/>
              </w:numPr>
              <w:spacing w:before="120" w:after="120"/>
              <w:rPr>
                <w:rFonts w:ascii="Open Sans" w:hAnsi="Open Sans" w:cs="Open Sans"/>
                <w:bCs/>
                <w:sz w:val="22"/>
                <w:szCs w:val="22"/>
              </w:rPr>
            </w:pPr>
            <w:r w:rsidRPr="006C014A">
              <w:rPr>
                <w:rFonts w:ascii="Open Sans" w:hAnsi="Open Sans" w:cs="Open Sans"/>
                <w:bCs/>
                <w:sz w:val="22"/>
                <w:szCs w:val="22"/>
              </w:rPr>
              <w:t>Can the scientific technique or theory be tested?</w:t>
            </w:r>
          </w:p>
          <w:p w14:paraId="7A8B0ED0" w14:textId="77777777" w:rsidR="006C014A" w:rsidRPr="006C014A" w:rsidRDefault="006C014A" w:rsidP="006C014A">
            <w:pPr>
              <w:numPr>
                <w:ilvl w:val="0"/>
                <w:numId w:val="40"/>
              </w:numPr>
              <w:spacing w:before="120" w:after="120"/>
              <w:rPr>
                <w:rFonts w:ascii="Open Sans" w:hAnsi="Open Sans" w:cs="Open Sans"/>
                <w:bCs/>
                <w:sz w:val="22"/>
                <w:szCs w:val="22"/>
              </w:rPr>
            </w:pPr>
            <w:r w:rsidRPr="006C014A">
              <w:rPr>
                <w:rFonts w:ascii="Open Sans" w:hAnsi="Open Sans" w:cs="Open Sans"/>
                <w:bCs/>
                <w:sz w:val="22"/>
                <w:szCs w:val="22"/>
              </w:rPr>
              <w:t>Has the technique or theory been subjected to peer review?</w:t>
            </w:r>
          </w:p>
          <w:p w14:paraId="43C446DC" w14:textId="77777777" w:rsidR="006C014A" w:rsidRPr="006C014A" w:rsidRDefault="006C014A" w:rsidP="006C014A">
            <w:pPr>
              <w:numPr>
                <w:ilvl w:val="0"/>
                <w:numId w:val="40"/>
              </w:numPr>
              <w:spacing w:before="120" w:after="120"/>
              <w:rPr>
                <w:rFonts w:ascii="Open Sans" w:hAnsi="Open Sans" w:cs="Open Sans"/>
                <w:bCs/>
                <w:sz w:val="22"/>
                <w:szCs w:val="22"/>
              </w:rPr>
            </w:pPr>
            <w:r w:rsidRPr="006C014A">
              <w:rPr>
                <w:rFonts w:ascii="Open Sans" w:hAnsi="Open Sans" w:cs="Open Sans"/>
                <w:bCs/>
                <w:sz w:val="22"/>
                <w:szCs w:val="22"/>
              </w:rPr>
              <w:t>What is the technique’s potential rate of error?</w:t>
            </w:r>
          </w:p>
          <w:p w14:paraId="5BDF4528" w14:textId="77777777" w:rsidR="006C014A" w:rsidRPr="006C014A" w:rsidRDefault="006C014A" w:rsidP="006C014A">
            <w:pPr>
              <w:numPr>
                <w:ilvl w:val="0"/>
                <w:numId w:val="40"/>
              </w:numPr>
              <w:spacing w:before="120" w:after="120"/>
              <w:rPr>
                <w:rFonts w:ascii="Open Sans" w:hAnsi="Open Sans" w:cs="Open Sans"/>
                <w:bCs/>
                <w:sz w:val="22"/>
                <w:szCs w:val="22"/>
              </w:rPr>
            </w:pPr>
            <w:r w:rsidRPr="006C014A">
              <w:rPr>
                <w:rFonts w:ascii="Open Sans" w:hAnsi="Open Sans" w:cs="Open Sans"/>
                <w:bCs/>
                <w:sz w:val="22"/>
                <w:szCs w:val="22"/>
              </w:rPr>
              <w:t>Are there standards to control the technique’s operation, and are these maintained?</w:t>
            </w:r>
          </w:p>
          <w:p w14:paraId="1F6CE434" w14:textId="77777777" w:rsidR="006C014A" w:rsidRPr="006C014A" w:rsidRDefault="006C014A" w:rsidP="006C014A">
            <w:pPr>
              <w:numPr>
                <w:ilvl w:val="0"/>
                <w:numId w:val="40"/>
              </w:numPr>
              <w:spacing w:before="120" w:after="120"/>
              <w:rPr>
                <w:rFonts w:ascii="Open Sans" w:hAnsi="Open Sans" w:cs="Open Sans"/>
                <w:bCs/>
                <w:sz w:val="22"/>
                <w:szCs w:val="22"/>
              </w:rPr>
            </w:pPr>
            <w:r w:rsidRPr="006C014A">
              <w:rPr>
                <w:rFonts w:ascii="Open Sans" w:hAnsi="Open Sans" w:cs="Open Sans"/>
                <w:bCs/>
                <w:sz w:val="22"/>
                <w:szCs w:val="22"/>
              </w:rPr>
              <w:t>Has the technique or theory attracted widespread acceptance within scientific community?</w:t>
            </w:r>
          </w:p>
          <w:p w14:paraId="2F7B5C1C" w14:textId="77777777" w:rsidR="006C014A" w:rsidRPr="006C014A" w:rsidRDefault="006C014A" w:rsidP="006C014A">
            <w:pPr>
              <w:numPr>
                <w:ilvl w:val="0"/>
                <w:numId w:val="38"/>
              </w:numPr>
              <w:spacing w:before="120" w:after="120"/>
              <w:rPr>
                <w:rFonts w:ascii="Open Sans" w:hAnsi="Open Sans" w:cs="Open Sans"/>
                <w:bCs/>
                <w:sz w:val="22"/>
                <w:szCs w:val="22"/>
              </w:rPr>
            </w:pPr>
            <w:r w:rsidRPr="006C014A">
              <w:rPr>
                <w:rFonts w:ascii="Open Sans" w:hAnsi="Open Sans" w:cs="Open Sans"/>
                <w:bCs/>
                <w:sz w:val="22"/>
                <w:szCs w:val="22"/>
              </w:rPr>
              <w:t>Federal Rules of Evidence (Number 702) Expert Testimony</w:t>
            </w:r>
          </w:p>
          <w:p w14:paraId="2A896102" w14:textId="77777777" w:rsidR="006C014A" w:rsidRPr="006C014A" w:rsidRDefault="006C014A" w:rsidP="006C014A">
            <w:pPr>
              <w:numPr>
                <w:ilvl w:val="0"/>
                <w:numId w:val="41"/>
              </w:numPr>
              <w:spacing w:before="120" w:after="120"/>
              <w:rPr>
                <w:rFonts w:ascii="Open Sans" w:hAnsi="Open Sans" w:cs="Open Sans"/>
                <w:bCs/>
                <w:sz w:val="22"/>
                <w:szCs w:val="22"/>
              </w:rPr>
            </w:pPr>
            <w:r w:rsidRPr="006C014A">
              <w:rPr>
                <w:rFonts w:ascii="Open Sans" w:hAnsi="Open Sans" w:cs="Open Sans"/>
                <w:bCs/>
                <w:sz w:val="22"/>
                <w:szCs w:val="22"/>
              </w:rPr>
              <w:t>Expert Testimony – hearsay from a witness is normally not allowed in court, except in the case of an expert witness</w:t>
            </w:r>
          </w:p>
          <w:p w14:paraId="735B6476" w14:textId="77777777" w:rsidR="006C014A" w:rsidRPr="006C014A" w:rsidRDefault="006C014A" w:rsidP="006C014A">
            <w:pPr>
              <w:numPr>
                <w:ilvl w:val="0"/>
                <w:numId w:val="41"/>
              </w:numPr>
              <w:spacing w:before="120" w:after="120"/>
              <w:rPr>
                <w:rFonts w:ascii="Open Sans" w:hAnsi="Open Sans" w:cs="Open Sans"/>
                <w:bCs/>
                <w:sz w:val="22"/>
                <w:szCs w:val="22"/>
              </w:rPr>
            </w:pPr>
            <w:r w:rsidRPr="006C014A">
              <w:rPr>
                <w:rFonts w:ascii="Open Sans" w:hAnsi="Open Sans" w:cs="Open Sans"/>
                <w:bCs/>
                <w:sz w:val="22"/>
                <w:szCs w:val="22"/>
              </w:rPr>
              <w:t>Expert Witness – a witness “qualified as an expert by knowledge, skill, experience, training, or education” (Deslich, 2006) may offer expert testimony on a scientific matter if</w:t>
            </w:r>
          </w:p>
          <w:p w14:paraId="142A01CC" w14:textId="77777777" w:rsidR="006C014A" w:rsidRPr="006C014A" w:rsidRDefault="006C014A" w:rsidP="006C014A">
            <w:pPr>
              <w:numPr>
                <w:ilvl w:val="0"/>
                <w:numId w:val="42"/>
              </w:numPr>
              <w:spacing w:before="120" w:after="120"/>
              <w:rPr>
                <w:rFonts w:ascii="Open Sans" w:hAnsi="Open Sans" w:cs="Open Sans"/>
                <w:bCs/>
                <w:sz w:val="22"/>
                <w:szCs w:val="22"/>
              </w:rPr>
            </w:pPr>
            <w:r w:rsidRPr="006C014A">
              <w:rPr>
                <w:rFonts w:ascii="Open Sans" w:hAnsi="Open Sans" w:cs="Open Sans"/>
                <w:bCs/>
                <w:sz w:val="22"/>
                <w:szCs w:val="22"/>
              </w:rPr>
              <w:t>The testimony is based upon sufficient facts</w:t>
            </w:r>
          </w:p>
          <w:p w14:paraId="2A93BD90" w14:textId="77777777" w:rsidR="006C014A" w:rsidRPr="006C014A" w:rsidRDefault="006C014A" w:rsidP="006C014A">
            <w:pPr>
              <w:numPr>
                <w:ilvl w:val="0"/>
                <w:numId w:val="42"/>
              </w:numPr>
              <w:spacing w:before="120" w:after="120"/>
              <w:rPr>
                <w:rFonts w:ascii="Open Sans" w:hAnsi="Open Sans" w:cs="Open Sans"/>
                <w:bCs/>
                <w:sz w:val="22"/>
                <w:szCs w:val="22"/>
              </w:rPr>
            </w:pPr>
            <w:r w:rsidRPr="006C014A">
              <w:rPr>
                <w:rFonts w:ascii="Open Sans" w:hAnsi="Open Sans" w:cs="Open Sans"/>
                <w:bCs/>
                <w:sz w:val="22"/>
                <w:szCs w:val="22"/>
              </w:rPr>
              <w:t>The testimony is the product of reliable principles and methods</w:t>
            </w:r>
          </w:p>
          <w:p w14:paraId="00DBF79C" w14:textId="77777777" w:rsidR="006C014A" w:rsidRPr="006C014A" w:rsidRDefault="006C014A" w:rsidP="006C014A">
            <w:pPr>
              <w:numPr>
                <w:ilvl w:val="0"/>
                <w:numId w:val="42"/>
              </w:numPr>
              <w:spacing w:before="120" w:after="120"/>
              <w:rPr>
                <w:rFonts w:ascii="Open Sans" w:hAnsi="Open Sans" w:cs="Open Sans"/>
                <w:bCs/>
                <w:sz w:val="22"/>
                <w:szCs w:val="22"/>
              </w:rPr>
            </w:pPr>
            <w:r w:rsidRPr="006C014A">
              <w:rPr>
                <w:rFonts w:ascii="Open Sans" w:hAnsi="Open Sans" w:cs="Open Sans"/>
                <w:bCs/>
                <w:sz w:val="22"/>
                <w:szCs w:val="22"/>
              </w:rPr>
              <w:t>The witness has applied the principles and methods reliably to the facts of the case</w:t>
            </w:r>
          </w:p>
          <w:p w14:paraId="11B6DB4A" w14:textId="77777777" w:rsidR="006C014A" w:rsidRPr="006C014A" w:rsidRDefault="006C014A" w:rsidP="006C014A">
            <w:pPr>
              <w:spacing w:before="120" w:after="120"/>
              <w:rPr>
                <w:rFonts w:ascii="Open Sans" w:hAnsi="Open Sans" w:cs="Open Sans"/>
                <w:bCs/>
                <w:sz w:val="22"/>
                <w:szCs w:val="22"/>
              </w:rPr>
            </w:pPr>
          </w:p>
          <w:p w14:paraId="2F076187" w14:textId="25280E49" w:rsidR="006C014A" w:rsidRPr="006C014A" w:rsidRDefault="006C014A" w:rsidP="006C014A">
            <w:pPr>
              <w:numPr>
                <w:ilvl w:val="0"/>
                <w:numId w:val="21"/>
              </w:numPr>
              <w:spacing w:before="120" w:after="120"/>
              <w:rPr>
                <w:rFonts w:ascii="Open Sans" w:hAnsi="Open Sans" w:cs="Open Sans"/>
                <w:bCs/>
                <w:sz w:val="22"/>
                <w:szCs w:val="22"/>
              </w:rPr>
            </w:pPr>
            <w:r w:rsidRPr="006C014A">
              <w:rPr>
                <w:rFonts w:ascii="Open Sans" w:hAnsi="Open Sans" w:cs="Open Sans"/>
                <w:bCs/>
                <w:sz w:val="22"/>
                <w:szCs w:val="22"/>
              </w:rPr>
              <w:t xml:space="preserve">Court Significance of Procedures in Evidence Collection and Analysis – every step of the process for collecting, handling, analyzing, transporting, and storing evidence is scrutinized in a court of law. </w:t>
            </w:r>
            <w:r w:rsidR="00392787" w:rsidRPr="006C014A">
              <w:rPr>
                <w:rFonts w:ascii="Open Sans" w:hAnsi="Open Sans" w:cs="Open Sans"/>
                <w:bCs/>
                <w:sz w:val="22"/>
                <w:szCs w:val="22"/>
              </w:rPr>
              <w:t>So,</w:t>
            </w:r>
            <w:r w:rsidRPr="006C014A">
              <w:rPr>
                <w:rFonts w:ascii="Open Sans" w:hAnsi="Open Sans" w:cs="Open Sans"/>
                <w:bCs/>
                <w:sz w:val="22"/>
                <w:szCs w:val="22"/>
              </w:rPr>
              <w:t xml:space="preserve"> there are guidelines that must be followed for forensic evidence and its results to be admissible in court</w:t>
            </w:r>
          </w:p>
          <w:p w14:paraId="49354D80" w14:textId="77777777" w:rsidR="006C014A" w:rsidRPr="006C014A" w:rsidRDefault="006C014A" w:rsidP="006C014A">
            <w:pPr>
              <w:numPr>
                <w:ilvl w:val="0"/>
                <w:numId w:val="43"/>
              </w:numPr>
              <w:spacing w:before="120" w:after="120"/>
              <w:rPr>
                <w:rFonts w:ascii="Open Sans" w:hAnsi="Open Sans" w:cs="Open Sans"/>
                <w:bCs/>
                <w:sz w:val="22"/>
                <w:szCs w:val="22"/>
              </w:rPr>
            </w:pPr>
            <w:r w:rsidRPr="006C014A">
              <w:rPr>
                <w:rFonts w:ascii="Open Sans" w:hAnsi="Open Sans" w:cs="Open Sans"/>
                <w:bCs/>
                <w:sz w:val="22"/>
                <w:szCs w:val="22"/>
              </w:rPr>
              <w:t>A systemic search for all evidence must be conducted</w:t>
            </w:r>
          </w:p>
          <w:p w14:paraId="1CEAF457" w14:textId="77777777" w:rsidR="006C014A" w:rsidRPr="006C014A" w:rsidRDefault="006C014A" w:rsidP="006C014A">
            <w:pPr>
              <w:numPr>
                <w:ilvl w:val="0"/>
                <w:numId w:val="43"/>
              </w:numPr>
              <w:spacing w:before="120" w:after="120"/>
              <w:rPr>
                <w:rFonts w:ascii="Open Sans" w:hAnsi="Open Sans" w:cs="Open Sans"/>
                <w:bCs/>
                <w:sz w:val="22"/>
                <w:szCs w:val="22"/>
              </w:rPr>
            </w:pPr>
            <w:r w:rsidRPr="006C014A">
              <w:rPr>
                <w:rFonts w:ascii="Open Sans" w:hAnsi="Open Sans" w:cs="Open Sans"/>
                <w:bCs/>
                <w:sz w:val="22"/>
                <w:szCs w:val="22"/>
              </w:rPr>
              <w:t>All evidence must be collected, including large items and trace evidence that must be vacuumed</w:t>
            </w:r>
          </w:p>
          <w:p w14:paraId="7CAC7EAD" w14:textId="77777777" w:rsidR="006C014A" w:rsidRPr="006C014A" w:rsidRDefault="006C014A" w:rsidP="006C014A">
            <w:pPr>
              <w:numPr>
                <w:ilvl w:val="0"/>
                <w:numId w:val="43"/>
              </w:numPr>
              <w:spacing w:before="120" w:after="120"/>
              <w:rPr>
                <w:rFonts w:ascii="Open Sans" w:hAnsi="Open Sans" w:cs="Open Sans"/>
                <w:bCs/>
                <w:sz w:val="22"/>
                <w:szCs w:val="22"/>
              </w:rPr>
            </w:pPr>
            <w:r w:rsidRPr="006C014A">
              <w:rPr>
                <w:rFonts w:ascii="Open Sans" w:hAnsi="Open Sans" w:cs="Open Sans"/>
                <w:bCs/>
                <w:sz w:val="22"/>
                <w:szCs w:val="22"/>
              </w:rPr>
              <w:t>Comparison-type evidence should be collected when possible</w:t>
            </w:r>
          </w:p>
          <w:p w14:paraId="0084A139" w14:textId="77777777" w:rsidR="006C014A" w:rsidRPr="006C014A" w:rsidRDefault="006C014A" w:rsidP="006C014A">
            <w:pPr>
              <w:numPr>
                <w:ilvl w:val="0"/>
                <w:numId w:val="44"/>
              </w:numPr>
              <w:spacing w:before="120" w:after="120"/>
              <w:rPr>
                <w:rFonts w:ascii="Open Sans" w:hAnsi="Open Sans" w:cs="Open Sans"/>
                <w:bCs/>
                <w:sz w:val="22"/>
                <w:szCs w:val="22"/>
              </w:rPr>
            </w:pPr>
            <w:r w:rsidRPr="006C014A">
              <w:rPr>
                <w:rFonts w:ascii="Open Sans" w:hAnsi="Open Sans" w:cs="Open Sans"/>
                <w:bCs/>
                <w:sz w:val="22"/>
                <w:szCs w:val="22"/>
              </w:rPr>
              <w:t xml:space="preserve">Reference Samples – should be collected for comparison </w:t>
            </w:r>
          </w:p>
          <w:p w14:paraId="7B29AA3F" w14:textId="77777777" w:rsidR="006C014A" w:rsidRPr="006C014A" w:rsidRDefault="006C014A" w:rsidP="006C014A">
            <w:pPr>
              <w:spacing w:before="120" w:after="120"/>
              <w:rPr>
                <w:rFonts w:ascii="Open Sans" w:hAnsi="Open Sans" w:cs="Open Sans"/>
                <w:b/>
                <w:bCs/>
                <w:sz w:val="22"/>
                <w:szCs w:val="22"/>
              </w:rPr>
            </w:pPr>
            <w:r w:rsidRPr="006C014A">
              <w:rPr>
                <w:rFonts w:ascii="Open Sans" w:hAnsi="Open Sans" w:cs="Open Sans"/>
                <w:b/>
                <w:bCs/>
                <w:sz w:val="22"/>
                <w:szCs w:val="22"/>
              </w:rPr>
              <w:t>Examples</w:t>
            </w:r>
          </w:p>
          <w:p w14:paraId="087528FB" w14:textId="77777777" w:rsidR="006C014A" w:rsidRPr="006C014A" w:rsidRDefault="006C014A" w:rsidP="006C014A">
            <w:pPr>
              <w:numPr>
                <w:ilvl w:val="0"/>
                <w:numId w:val="45"/>
              </w:numPr>
              <w:spacing w:before="120" w:after="120"/>
              <w:rPr>
                <w:rFonts w:ascii="Open Sans" w:hAnsi="Open Sans" w:cs="Open Sans"/>
                <w:bCs/>
                <w:sz w:val="22"/>
                <w:szCs w:val="22"/>
              </w:rPr>
            </w:pPr>
            <w:r w:rsidRPr="006C014A">
              <w:rPr>
                <w:rFonts w:ascii="Open Sans" w:hAnsi="Open Sans" w:cs="Open Sans"/>
                <w:bCs/>
                <w:sz w:val="22"/>
                <w:szCs w:val="22"/>
              </w:rPr>
              <w:t>The removal of a paint chip from a suspect’s vehicle to compare to the paint from the scene of a hit-and-run incident</w:t>
            </w:r>
          </w:p>
          <w:p w14:paraId="11B1C807" w14:textId="77777777" w:rsidR="006C014A" w:rsidRPr="006C014A" w:rsidRDefault="006C014A" w:rsidP="006C014A">
            <w:pPr>
              <w:numPr>
                <w:ilvl w:val="0"/>
                <w:numId w:val="45"/>
              </w:numPr>
              <w:spacing w:before="120" w:after="120"/>
              <w:rPr>
                <w:rFonts w:ascii="Open Sans" w:hAnsi="Open Sans" w:cs="Open Sans"/>
                <w:bCs/>
                <w:sz w:val="22"/>
                <w:szCs w:val="22"/>
              </w:rPr>
            </w:pPr>
            <w:r w:rsidRPr="006C014A">
              <w:rPr>
                <w:rFonts w:ascii="Open Sans" w:hAnsi="Open Sans" w:cs="Open Sans"/>
                <w:bCs/>
                <w:sz w:val="22"/>
                <w:szCs w:val="22"/>
              </w:rPr>
              <w:t>Hair and blood-stained evidence from a crime scene should be accompanied by whole blood and hair samples from the victim, all possible suspects, all family members (and pets), and crime scene investigators</w:t>
            </w:r>
          </w:p>
          <w:p w14:paraId="6C5379C6" w14:textId="77777777" w:rsidR="006C014A" w:rsidRPr="006C014A" w:rsidRDefault="006C014A" w:rsidP="006C014A">
            <w:pPr>
              <w:spacing w:before="120" w:after="120"/>
              <w:rPr>
                <w:rFonts w:ascii="Open Sans" w:hAnsi="Open Sans" w:cs="Open Sans"/>
                <w:bCs/>
                <w:sz w:val="22"/>
                <w:szCs w:val="22"/>
              </w:rPr>
            </w:pPr>
            <w:r w:rsidRPr="006C014A">
              <w:rPr>
                <w:rFonts w:ascii="Open Sans" w:hAnsi="Open Sans" w:cs="Open Sans"/>
                <w:bCs/>
                <w:sz w:val="22"/>
                <w:szCs w:val="22"/>
              </w:rPr>
              <w:t>These reference samples are then available for comparison, elimination, and matching to those unknown specimens collected at the crime scene</w:t>
            </w:r>
          </w:p>
          <w:p w14:paraId="59739AD6" w14:textId="77777777" w:rsidR="006C014A" w:rsidRPr="006C014A" w:rsidRDefault="006C014A" w:rsidP="006C014A">
            <w:pPr>
              <w:numPr>
                <w:ilvl w:val="0"/>
                <w:numId w:val="44"/>
              </w:numPr>
              <w:spacing w:before="120" w:after="120"/>
              <w:rPr>
                <w:rFonts w:ascii="Open Sans" w:hAnsi="Open Sans" w:cs="Open Sans"/>
                <w:bCs/>
                <w:sz w:val="22"/>
                <w:szCs w:val="22"/>
              </w:rPr>
            </w:pPr>
            <w:r w:rsidRPr="006C014A">
              <w:rPr>
                <w:rFonts w:ascii="Open Sans" w:hAnsi="Open Sans" w:cs="Open Sans"/>
                <w:bCs/>
                <w:sz w:val="22"/>
                <w:szCs w:val="22"/>
              </w:rPr>
              <w:t>Substrate Controls – materials collected close to areas where evidence was found to ensure that the surface close to the evidence does not react or interfere with laboratory testing measures and show a different result than the actual evidence collected</w:t>
            </w:r>
          </w:p>
          <w:p w14:paraId="4307F1F6" w14:textId="77777777" w:rsidR="006C014A" w:rsidRPr="006C014A" w:rsidRDefault="006C014A" w:rsidP="006C014A">
            <w:pPr>
              <w:numPr>
                <w:ilvl w:val="0"/>
                <w:numId w:val="43"/>
              </w:numPr>
              <w:spacing w:before="120" w:after="120"/>
              <w:rPr>
                <w:rFonts w:ascii="Open Sans" w:hAnsi="Open Sans" w:cs="Open Sans"/>
                <w:bCs/>
                <w:sz w:val="22"/>
                <w:szCs w:val="22"/>
              </w:rPr>
            </w:pPr>
            <w:r w:rsidRPr="006C014A">
              <w:rPr>
                <w:rFonts w:ascii="Open Sans" w:hAnsi="Open Sans" w:cs="Open Sans"/>
                <w:bCs/>
                <w:sz w:val="22"/>
                <w:szCs w:val="22"/>
              </w:rPr>
              <w:t>Proper packaging and separation of evidence is crucial</w:t>
            </w:r>
          </w:p>
          <w:p w14:paraId="22DA4BA0" w14:textId="77777777" w:rsidR="006C014A" w:rsidRPr="006C014A" w:rsidRDefault="006C014A" w:rsidP="006C014A">
            <w:pPr>
              <w:numPr>
                <w:ilvl w:val="0"/>
                <w:numId w:val="46"/>
              </w:numPr>
              <w:spacing w:before="120" w:after="120"/>
              <w:rPr>
                <w:rFonts w:ascii="Open Sans" w:hAnsi="Open Sans" w:cs="Open Sans"/>
                <w:bCs/>
                <w:sz w:val="22"/>
                <w:szCs w:val="22"/>
              </w:rPr>
            </w:pPr>
            <w:r w:rsidRPr="006C014A">
              <w:rPr>
                <w:rFonts w:ascii="Open Sans" w:hAnsi="Open Sans" w:cs="Open Sans"/>
                <w:bCs/>
                <w:sz w:val="22"/>
                <w:szCs w:val="22"/>
              </w:rPr>
              <w:t>Cross-contamination (or contact) with other persons or evidence is to be avoided at all cost</w:t>
            </w:r>
          </w:p>
          <w:p w14:paraId="2B940A20" w14:textId="77777777" w:rsidR="006C014A" w:rsidRPr="006C014A" w:rsidRDefault="006C014A" w:rsidP="006C014A">
            <w:pPr>
              <w:numPr>
                <w:ilvl w:val="0"/>
                <w:numId w:val="46"/>
              </w:numPr>
              <w:spacing w:before="120" w:after="120"/>
              <w:rPr>
                <w:rFonts w:ascii="Open Sans" w:hAnsi="Open Sans" w:cs="Open Sans"/>
                <w:bCs/>
                <w:sz w:val="22"/>
                <w:szCs w:val="22"/>
              </w:rPr>
            </w:pPr>
            <w:r w:rsidRPr="006C014A">
              <w:rPr>
                <w:rFonts w:ascii="Open Sans" w:hAnsi="Open Sans" w:cs="Open Sans"/>
                <w:bCs/>
                <w:sz w:val="22"/>
                <w:szCs w:val="22"/>
              </w:rPr>
              <w:t>Proper tools for collection and storage should always be used (envelopes, vials, bags, etc.)</w:t>
            </w:r>
          </w:p>
          <w:p w14:paraId="69552EA9" w14:textId="77777777" w:rsidR="006C014A" w:rsidRPr="006C014A" w:rsidRDefault="006C014A" w:rsidP="006C014A">
            <w:pPr>
              <w:numPr>
                <w:ilvl w:val="0"/>
                <w:numId w:val="46"/>
              </w:numPr>
              <w:spacing w:before="120" w:after="120"/>
              <w:rPr>
                <w:rFonts w:ascii="Open Sans" w:hAnsi="Open Sans" w:cs="Open Sans"/>
                <w:bCs/>
                <w:sz w:val="22"/>
                <w:szCs w:val="22"/>
              </w:rPr>
            </w:pPr>
            <w:r w:rsidRPr="006C014A">
              <w:rPr>
                <w:rFonts w:ascii="Open Sans" w:hAnsi="Open Sans" w:cs="Open Sans"/>
                <w:bCs/>
                <w:sz w:val="22"/>
                <w:szCs w:val="22"/>
              </w:rPr>
              <w:t>Always follow strict packaging guidelines for all evidence, and never package any two pieces of evidence together</w:t>
            </w:r>
          </w:p>
          <w:p w14:paraId="03EBFCB7" w14:textId="77777777" w:rsidR="006C014A" w:rsidRPr="006C014A" w:rsidRDefault="006C014A" w:rsidP="006C014A">
            <w:pPr>
              <w:numPr>
                <w:ilvl w:val="0"/>
                <w:numId w:val="46"/>
              </w:numPr>
              <w:spacing w:before="120" w:after="120"/>
              <w:rPr>
                <w:rFonts w:ascii="Open Sans" w:hAnsi="Open Sans" w:cs="Open Sans"/>
                <w:bCs/>
                <w:sz w:val="22"/>
                <w:szCs w:val="22"/>
              </w:rPr>
            </w:pPr>
            <w:r w:rsidRPr="006C014A">
              <w:rPr>
                <w:rFonts w:ascii="Open Sans" w:hAnsi="Open Sans" w:cs="Open Sans"/>
                <w:bCs/>
                <w:sz w:val="22"/>
                <w:szCs w:val="22"/>
              </w:rPr>
              <w:t>Decontamination of personnel between crime scenes is important</w:t>
            </w:r>
          </w:p>
          <w:p w14:paraId="0F4A9A80" w14:textId="77777777" w:rsidR="006C014A" w:rsidRPr="006C014A" w:rsidRDefault="006C014A" w:rsidP="006C014A">
            <w:pPr>
              <w:numPr>
                <w:ilvl w:val="0"/>
                <w:numId w:val="43"/>
              </w:numPr>
              <w:spacing w:before="120" w:after="120"/>
              <w:rPr>
                <w:rFonts w:ascii="Open Sans" w:hAnsi="Open Sans" w:cs="Open Sans"/>
                <w:bCs/>
                <w:sz w:val="22"/>
                <w:szCs w:val="22"/>
              </w:rPr>
            </w:pPr>
            <w:r w:rsidRPr="006C014A">
              <w:rPr>
                <w:rFonts w:ascii="Open Sans" w:hAnsi="Open Sans" w:cs="Open Sans"/>
                <w:bCs/>
                <w:sz w:val="22"/>
                <w:szCs w:val="22"/>
              </w:rPr>
              <w:t>Chain of Custody – the witnessed, written record of all individuals who had the evidence in their possession from the crime scene to the courtroom; and when, where, and for what purpose this transfer of evidence occurred</w:t>
            </w:r>
          </w:p>
          <w:p w14:paraId="3C15E5CF"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The item of evidence itself should be identified; the location, time, and person collecting should also be recorded</w:t>
            </w:r>
          </w:p>
          <w:p w14:paraId="2F1E10B7" w14:textId="345A177D"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 xml:space="preserve">The evidence container should also be marked for identification, showing the collector’s initials, the location of evidence, and the date </w:t>
            </w:r>
            <w:r w:rsidR="00392787" w:rsidRPr="006C014A">
              <w:rPr>
                <w:rFonts w:ascii="Open Sans" w:hAnsi="Open Sans" w:cs="Open Sans"/>
                <w:bCs/>
                <w:sz w:val="22"/>
                <w:szCs w:val="22"/>
              </w:rPr>
              <w:t>the collector received it</w:t>
            </w:r>
          </w:p>
          <w:p w14:paraId="2F740024"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If the evidence is turned over to another individual for any reason (care or delivery), this transfer must be recorded in the notes and/or forms</w:t>
            </w:r>
          </w:p>
          <w:p w14:paraId="10363FBF"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Any samples of the evidence taken for testing or any changes in the evidence should be documented immediately</w:t>
            </w:r>
          </w:p>
          <w:p w14:paraId="0C382DA0"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Every individual who possesses the evidence must maintain a written record of its acquisition/disposition and may be called to testify in court; this includes individuals from the collection, to delivery, to the laboratory analysis, and then into the courtroom with the prosecuting attorney</w:t>
            </w:r>
          </w:p>
          <w:p w14:paraId="623AFF2E"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To avoid confusion, the number of individuals involved in the chain of custody, should be kept to a minimum</w:t>
            </w:r>
          </w:p>
          <w:p w14:paraId="0C5C806D" w14:textId="77777777" w:rsidR="006C014A" w:rsidRPr="006C014A" w:rsidRDefault="006C014A" w:rsidP="006C014A">
            <w:pPr>
              <w:numPr>
                <w:ilvl w:val="0"/>
                <w:numId w:val="47"/>
              </w:numPr>
              <w:spacing w:before="120" w:after="120"/>
              <w:rPr>
                <w:rFonts w:ascii="Open Sans" w:hAnsi="Open Sans" w:cs="Open Sans"/>
                <w:bCs/>
                <w:sz w:val="22"/>
                <w:szCs w:val="22"/>
              </w:rPr>
            </w:pPr>
            <w:r w:rsidRPr="006C014A">
              <w:rPr>
                <w:rFonts w:ascii="Open Sans" w:hAnsi="Open Sans" w:cs="Open Sans"/>
                <w:bCs/>
                <w:sz w:val="22"/>
                <w:szCs w:val="22"/>
              </w:rPr>
              <w:t>The chain of custody record is often kept as a form on the container or envelope of the evidence</w:t>
            </w:r>
          </w:p>
          <w:p w14:paraId="788EAE4E" w14:textId="72F634DA" w:rsidR="006C014A" w:rsidRPr="00192677" w:rsidRDefault="006C014A" w:rsidP="006C014A">
            <w:pPr>
              <w:spacing w:before="120" w:after="120"/>
              <w:rPr>
                <w:rFonts w:ascii="Open Sans" w:hAnsi="Open Sans" w:cs="Open Sans"/>
                <w:bCs/>
                <w:sz w:val="22"/>
                <w:szCs w:val="22"/>
              </w:rPr>
            </w:pPr>
            <w:r w:rsidRPr="006C014A">
              <w:rPr>
                <w:rFonts w:ascii="Open Sans" w:hAnsi="Open Sans" w:cs="Open Sans"/>
                <w:bCs/>
                <w:sz w:val="22"/>
                <w:szCs w:val="22"/>
              </w:rPr>
              <w:t>Failure to substantiate the evidence’s chain of custody may lead to serious questions regarding the authenticity and integrity of the evidenc</w:t>
            </w:r>
            <w:r w:rsidR="00192677">
              <w:rPr>
                <w:rFonts w:ascii="Open Sans" w:hAnsi="Open Sans" w:cs="Open Sans"/>
                <w:bCs/>
                <w:sz w:val="22"/>
                <w:szCs w:val="22"/>
              </w:rPr>
              <w:t>e.</w:t>
            </w:r>
          </w:p>
        </w:tc>
      </w:tr>
      <w:tr w:rsidR="00B3350C" w:rsidRPr="00BF7C7F" w14:paraId="07580D23" w14:textId="77777777" w:rsidTr="09D121B5">
        <w:trPr>
          <w:trHeight w:val="27"/>
        </w:trPr>
        <w:tc>
          <w:tcPr>
            <w:tcW w:w="2952" w:type="dxa"/>
            <w:shd w:val="clear" w:color="auto" w:fill="auto"/>
          </w:tcPr>
          <w:p w14:paraId="78EDFD65" w14:textId="249361E5" w:rsidR="00B3350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Guided Practice *</w:t>
            </w:r>
          </w:p>
        </w:tc>
        <w:tc>
          <w:tcPr>
            <w:tcW w:w="7848" w:type="dxa"/>
            <w:shd w:val="clear" w:color="auto" w:fill="auto"/>
          </w:tcPr>
          <w:p w14:paraId="3B861421" w14:textId="13159B13" w:rsidR="00410D65" w:rsidRPr="00BF7C7F" w:rsidRDefault="00410D65" w:rsidP="00B71332">
            <w:pPr>
              <w:numPr>
                <w:ilvl w:val="0"/>
                <w:numId w:val="1"/>
              </w:numPr>
              <w:tabs>
                <w:tab w:val="left" w:pos="2140"/>
              </w:tabs>
              <w:spacing w:line="237" w:lineRule="auto"/>
              <w:rPr>
                <w:rFonts w:ascii="Open Sans" w:eastAsia="Arial" w:hAnsi="Open Sans" w:cs="Open Sans"/>
                <w:sz w:val="22"/>
                <w:szCs w:val="22"/>
              </w:rPr>
            </w:pPr>
            <w:r w:rsidRPr="00BF7C7F">
              <w:rPr>
                <w:rFonts w:ascii="Open Sans" w:eastAsia="Arial" w:hAnsi="Open Sans" w:cs="Open Sans"/>
                <w:sz w:val="22"/>
                <w:szCs w:val="22"/>
                <w:u w:val="single"/>
              </w:rPr>
              <w:t>Evidence Activity</w:t>
            </w:r>
            <w:r w:rsidRPr="00BF7C7F">
              <w:rPr>
                <w:rFonts w:ascii="Open Sans" w:eastAsia="Arial" w:hAnsi="Open Sans" w:cs="Open Sans"/>
                <w:sz w:val="22"/>
                <w:szCs w:val="22"/>
              </w:rPr>
              <w:t xml:space="preserve">. </w:t>
            </w:r>
            <w:r w:rsidR="00893504">
              <w:rPr>
                <w:rFonts w:ascii="Open Sans" w:eastAsia="Arial" w:hAnsi="Open Sans" w:cs="Open Sans"/>
                <w:sz w:val="22"/>
                <w:szCs w:val="22"/>
              </w:rPr>
              <w:t xml:space="preserve">Use the outline for direct instruction.  </w:t>
            </w:r>
            <w:r w:rsidR="00914001">
              <w:rPr>
                <w:rFonts w:ascii="Open Sans" w:eastAsia="Arial" w:hAnsi="Open Sans" w:cs="Open Sans"/>
                <w:sz w:val="22"/>
                <w:szCs w:val="22"/>
              </w:rPr>
              <w:t>Create questions that</w:t>
            </w:r>
            <w:r w:rsidRPr="00BF7C7F">
              <w:rPr>
                <w:rFonts w:ascii="Open Sans" w:eastAsia="Arial" w:hAnsi="Open Sans" w:cs="Open Sans"/>
                <w:sz w:val="22"/>
                <w:szCs w:val="22"/>
              </w:rPr>
              <w:t xml:space="preserve"> may be used to guide a class discussion or as a quiz. Use the Evidence: Individual or Class Discussion Activity Key and/or the Discussion Rubric for assessment.</w:t>
            </w:r>
          </w:p>
          <w:p w14:paraId="5D1EF2DE" w14:textId="1D10E16A" w:rsidR="00CF2E7E" w:rsidRPr="00BF7C7F" w:rsidRDefault="00CF2E7E" w:rsidP="00410D65">
            <w:pPr>
              <w:pStyle w:val="ListParagraph"/>
              <w:spacing w:before="120" w:after="120"/>
              <w:rPr>
                <w:rFonts w:ascii="Open Sans" w:hAnsi="Open Sans" w:cs="Open Sans"/>
                <w:sz w:val="22"/>
                <w:szCs w:val="22"/>
              </w:rPr>
            </w:pPr>
          </w:p>
        </w:tc>
      </w:tr>
      <w:tr w:rsidR="00B3350C" w:rsidRPr="00BF7C7F" w14:paraId="2BB1B0A1" w14:textId="77777777" w:rsidTr="09D121B5">
        <w:trPr>
          <w:trHeight w:val="395"/>
        </w:trPr>
        <w:tc>
          <w:tcPr>
            <w:tcW w:w="2952" w:type="dxa"/>
            <w:shd w:val="clear" w:color="auto" w:fill="auto"/>
          </w:tcPr>
          <w:p w14:paraId="1388253E" w14:textId="6EA2F42B" w:rsidR="00B3350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Independent Practice/Laboratory Experience/Differentiated Activities *</w:t>
            </w:r>
          </w:p>
        </w:tc>
        <w:tc>
          <w:tcPr>
            <w:tcW w:w="7848" w:type="dxa"/>
            <w:shd w:val="clear" w:color="auto" w:fill="auto"/>
          </w:tcPr>
          <w:p w14:paraId="03C8A2B7" w14:textId="77777777" w:rsidR="00410D65" w:rsidRPr="00BF7C7F" w:rsidRDefault="00410D65" w:rsidP="00B71332">
            <w:pPr>
              <w:numPr>
                <w:ilvl w:val="0"/>
                <w:numId w:val="1"/>
              </w:numPr>
              <w:tabs>
                <w:tab w:val="left" w:pos="2140"/>
              </w:tabs>
              <w:spacing w:line="238" w:lineRule="auto"/>
              <w:ind w:right="100"/>
              <w:rPr>
                <w:rFonts w:ascii="Open Sans" w:eastAsia="Arial" w:hAnsi="Open Sans" w:cs="Open Sans"/>
                <w:sz w:val="22"/>
                <w:szCs w:val="22"/>
              </w:rPr>
            </w:pPr>
            <w:r w:rsidRPr="00BF7C7F">
              <w:rPr>
                <w:rFonts w:ascii="Open Sans" w:eastAsia="Arial" w:hAnsi="Open Sans" w:cs="Open Sans"/>
                <w:sz w:val="22"/>
                <w:szCs w:val="22"/>
                <w:u w:val="single"/>
              </w:rPr>
              <w:t>O.J. Simpson Case Problems with Evidence</w:t>
            </w:r>
            <w:r w:rsidRPr="00BF7C7F">
              <w:rPr>
                <w:rFonts w:ascii="Open Sans" w:eastAsia="Arial" w:hAnsi="Open Sans" w:cs="Open Sans"/>
                <w:sz w:val="22"/>
                <w:szCs w:val="22"/>
              </w:rPr>
              <w:t>. Have students analyze what went wrong during the O.J. Case. Use the O.J. Simpson: An Example of Problems with Evidence handout for the activity and the O.J. Simpson: An Example of Problems with Evidence Key for assessment. The Discussion Rubric and the Debate Rubric may also be used.</w:t>
            </w:r>
          </w:p>
          <w:p w14:paraId="4316F53D" w14:textId="77777777" w:rsidR="00410D65" w:rsidRPr="00BF7C7F" w:rsidRDefault="00410D65" w:rsidP="00410D65">
            <w:pPr>
              <w:spacing w:line="287" w:lineRule="exact"/>
              <w:rPr>
                <w:rFonts w:ascii="Open Sans" w:eastAsia="Arial" w:hAnsi="Open Sans" w:cs="Open Sans"/>
                <w:sz w:val="22"/>
                <w:szCs w:val="22"/>
              </w:rPr>
            </w:pPr>
          </w:p>
          <w:p w14:paraId="62CAFCD1" w14:textId="7539ECB7" w:rsidR="00410D65" w:rsidRPr="00BF7C7F" w:rsidRDefault="00410D65" w:rsidP="00B71332">
            <w:pPr>
              <w:numPr>
                <w:ilvl w:val="0"/>
                <w:numId w:val="1"/>
              </w:numPr>
              <w:tabs>
                <w:tab w:val="left" w:pos="2140"/>
              </w:tabs>
              <w:spacing w:line="239" w:lineRule="auto"/>
              <w:ind w:right="20"/>
              <w:rPr>
                <w:rFonts w:ascii="Open Sans" w:eastAsia="Arial" w:hAnsi="Open Sans" w:cs="Open Sans"/>
                <w:sz w:val="22"/>
                <w:szCs w:val="22"/>
              </w:rPr>
            </w:pPr>
            <w:r w:rsidRPr="00BF7C7F">
              <w:rPr>
                <w:rFonts w:ascii="Open Sans" w:eastAsia="Arial" w:hAnsi="Open Sans" w:cs="Open Sans"/>
                <w:sz w:val="22"/>
                <w:szCs w:val="22"/>
                <w:u w:val="single"/>
              </w:rPr>
              <w:t>Smash &amp; Grab Activity</w:t>
            </w:r>
            <w:r w:rsidRPr="00BF7C7F">
              <w:rPr>
                <w:rFonts w:ascii="Open Sans" w:eastAsia="Arial" w:hAnsi="Open Sans" w:cs="Open Sans"/>
                <w:sz w:val="22"/>
                <w:szCs w:val="22"/>
              </w:rPr>
              <w:t xml:space="preserve">. Do an Internet search for a video using the following: Surveillance Video </w:t>
            </w:r>
            <w:r w:rsidR="00392787" w:rsidRPr="00BF7C7F">
              <w:rPr>
                <w:rFonts w:ascii="Open Sans" w:eastAsia="Arial" w:hAnsi="Open Sans" w:cs="Open Sans"/>
                <w:sz w:val="22"/>
                <w:szCs w:val="22"/>
              </w:rPr>
              <w:t>of</w:t>
            </w:r>
            <w:r w:rsidRPr="00BF7C7F">
              <w:rPr>
                <w:rFonts w:ascii="Open Sans" w:eastAsia="Arial" w:hAnsi="Open Sans" w:cs="Open Sans"/>
                <w:sz w:val="22"/>
                <w:szCs w:val="22"/>
              </w:rPr>
              <w:t xml:space="preserve"> Smash-And-Grab Robbery </w:t>
            </w:r>
            <w:r w:rsidR="00392787" w:rsidRPr="00BF7C7F">
              <w:rPr>
                <w:rFonts w:ascii="Open Sans" w:eastAsia="Arial" w:hAnsi="Open Sans" w:cs="Open Sans"/>
                <w:sz w:val="22"/>
                <w:szCs w:val="22"/>
              </w:rPr>
              <w:t>in</w:t>
            </w:r>
            <w:r w:rsidRPr="00BF7C7F">
              <w:rPr>
                <w:rFonts w:ascii="Open Sans" w:eastAsia="Arial" w:hAnsi="Open Sans" w:cs="Open Sans"/>
                <w:sz w:val="22"/>
                <w:szCs w:val="22"/>
              </w:rPr>
              <w:t xml:space="preserve"> LA. (</w:t>
            </w:r>
            <w:r w:rsidRPr="00BF7C7F">
              <w:rPr>
                <w:rFonts w:ascii="Open Sans" w:eastAsia="Arial" w:hAnsi="Open Sans" w:cs="Open Sans"/>
                <w:i/>
                <w:iCs/>
                <w:sz w:val="22"/>
                <w:szCs w:val="22"/>
              </w:rPr>
              <w:t>Notes:</w:t>
            </w:r>
            <w:r w:rsidRPr="00BF7C7F">
              <w:rPr>
                <w:rFonts w:ascii="Open Sans" w:eastAsia="Arial" w:hAnsi="Open Sans" w:cs="Open Sans"/>
                <w:sz w:val="22"/>
                <w:szCs w:val="22"/>
              </w:rPr>
              <w:t xml:space="preserve"> there are three parts on this video; only use the first one. Do not give students any idea of what they are about to watch and do not emphasize the need to remember details.) Have </w:t>
            </w:r>
            <w:r w:rsidR="00392787" w:rsidRPr="00BF7C7F">
              <w:rPr>
                <w:rFonts w:ascii="Open Sans" w:eastAsia="Arial" w:hAnsi="Open Sans" w:cs="Open Sans"/>
                <w:sz w:val="22"/>
                <w:szCs w:val="22"/>
              </w:rPr>
              <w:t>all</w:t>
            </w:r>
            <w:r w:rsidRPr="00BF7C7F">
              <w:rPr>
                <w:rFonts w:ascii="Open Sans" w:eastAsia="Arial" w:hAnsi="Open Sans" w:cs="Open Sans"/>
                <w:sz w:val="22"/>
                <w:szCs w:val="22"/>
              </w:rPr>
              <w:t xml:space="preserve"> the students watch the first part of the video (approximately 30 seconds) and then distribute the Smash and Grab Questions handout to the students. Have the students complete as many of the questions as they can. It will probably be necessary to watch the first part of the video one or two more times before the students can answer </w:t>
            </w:r>
            <w:r w:rsidR="00392787" w:rsidRPr="00BF7C7F">
              <w:rPr>
                <w:rFonts w:ascii="Open Sans" w:eastAsia="Arial" w:hAnsi="Open Sans" w:cs="Open Sans"/>
                <w:sz w:val="22"/>
                <w:szCs w:val="22"/>
              </w:rPr>
              <w:t>all</w:t>
            </w:r>
            <w:r w:rsidRPr="00BF7C7F">
              <w:rPr>
                <w:rFonts w:ascii="Open Sans" w:eastAsia="Arial" w:hAnsi="Open Sans" w:cs="Open Sans"/>
                <w:sz w:val="22"/>
                <w:szCs w:val="22"/>
              </w:rPr>
              <w:t xml:space="preserve"> the questions. Remind the students that in actual law enforcement situations there is no replay of the event. After the students complete the questions, have them reflect on the emotions they felt during the observation of the event and the questioning period. Ask them to explore how these emotions might interfere with the recall of the </w:t>
            </w:r>
            <w:r w:rsidR="00392787" w:rsidRPr="00BF7C7F">
              <w:rPr>
                <w:rFonts w:ascii="Open Sans" w:eastAsia="Arial" w:hAnsi="Open Sans" w:cs="Open Sans"/>
                <w:sz w:val="22"/>
                <w:szCs w:val="22"/>
              </w:rPr>
              <w:t>facts</w:t>
            </w:r>
            <w:r w:rsidRPr="00BF7C7F">
              <w:rPr>
                <w:rFonts w:ascii="Open Sans" w:eastAsia="Arial" w:hAnsi="Open Sans" w:cs="Open Sans"/>
                <w:sz w:val="22"/>
                <w:szCs w:val="22"/>
              </w:rPr>
              <w:t xml:space="preserve"> of the event, for both the authentic questioning process in police headquarters </w:t>
            </w:r>
            <w:r w:rsidR="00392787" w:rsidRPr="00BF7C7F">
              <w:rPr>
                <w:rFonts w:ascii="Open Sans" w:eastAsia="Arial" w:hAnsi="Open Sans" w:cs="Open Sans"/>
                <w:sz w:val="22"/>
                <w:szCs w:val="22"/>
              </w:rPr>
              <w:t>and</w:t>
            </w:r>
            <w:r w:rsidRPr="00BF7C7F">
              <w:rPr>
                <w:rFonts w:ascii="Open Sans" w:eastAsia="Arial" w:hAnsi="Open Sans" w:cs="Open Sans"/>
                <w:sz w:val="22"/>
                <w:szCs w:val="22"/>
              </w:rPr>
              <w:t xml:space="preserve"> the courtroom. Use the Smash and Grab Questions Key as a resource for the activity. Use the Individual Work Rubric and/or the Writing Rubric for assessment.</w:t>
            </w:r>
          </w:p>
          <w:p w14:paraId="2051BC6A" w14:textId="77777777" w:rsidR="00410D65" w:rsidRPr="00BF7C7F" w:rsidRDefault="00410D65" w:rsidP="00410D65">
            <w:pPr>
              <w:spacing w:line="298" w:lineRule="exact"/>
              <w:rPr>
                <w:rFonts w:ascii="Open Sans" w:eastAsia="Arial" w:hAnsi="Open Sans" w:cs="Open Sans"/>
                <w:sz w:val="22"/>
                <w:szCs w:val="22"/>
              </w:rPr>
            </w:pPr>
          </w:p>
          <w:p w14:paraId="7AB5E3DA" w14:textId="77777777" w:rsidR="00410D65" w:rsidRPr="00BF7C7F" w:rsidRDefault="00410D65" w:rsidP="00B71332">
            <w:pPr>
              <w:numPr>
                <w:ilvl w:val="0"/>
                <w:numId w:val="1"/>
              </w:numPr>
              <w:tabs>
                <w:tab w:val="left" w:pos="2140"/>
              </w:tabs>
              <w:spacing w:line="236" w:lineRule="auto"/>
              <w:ind w:right="420"/>
              <w:rPr>
                <w:rFonts w:ascii="Open Sans" w:eastAsia="Arial" w:hAnsi="Open Sans" w:cs="Open Sans"/>
                <w:sz w:val="22"/>
                <w:szCs w:val="22"/>
              </w:rPr>
            </w:pPr>
            <w:r w:rsidRPr="00BF7C7F">
              <w:rPr>
                <w:rFonts w:ascii="Open Sans" w:eastAsia="Arial" w:hAnsi="Open Sans" w:cs="Open Sans"/>
                <w:sz w:val="22"/>
                <w:szCs w:val="22"/>
                <w:u w:val="single"/>
              </w:rPr>
              <w:t>Legal Systems Crossword Puzzle</w:t>
            </w:r>
            <w:r w:rsidRPr="00BF7C7F">
              <w:rPr>
                <w:rFonts w:ascii="Open Sans" w:eastAsia="Arial" w:hAnsi="Open Sans" w:cs="Open Sans"/>
                <w:sz w:val="22"/>
                <w:szCs w:val="22"/>
              </w:rPr>
              <w:t>. Have students complete the Legal Systems Crossword Puzzle. Use the Legal Systems Crossword Puzzle Key for assessment.</w:t>
            </w:r>
          </w:p>
          <w:p w14:paraId="69097A9C" w14:textId="47FD61F2" w:rsidR="00CF2E7E" w:rsidRPr="00BF7C7F" w:rsidRDefault="00CF2E7E" w:rsidP="00410D65">
            <w:pPr>
              <w:spacing w:before="120" w:after="120"/>
              <w:rPr>
                <w:rFonts w:ascii="Open Sans" w:hAnsi="Open Sans" w:cs="Open Sans"/>
                <w:sz w:val="22"/>
                <w:szCs w:val="22"/>
              </w:rPr>
            </w:pPr>
          </w:p>
        </w:tc>
      </w:tr>
      <w:tr w:rsidR="00B3350C" w:rsidRPr="00BF7C7F" w14:paraId="50863A81" w14:textId="77777777" w:rsidTr="09D121B5">
        <w:tc>
          <w:tcPr>
            <w:tcW w:w="2952" w:type="dxa"/>
            <w:shd w:val="clear" w:color="auto" w:fill="auto"/>
          </w:tcPr>
          <w:p w14:paraId="3E48F608" w14:textId="5EE824C9"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Lesson Closure</w:t>
            </w:r>
          </w:p>
        </w:tc>
        <w:tc>
          <w:tcPr>
            <w:tcW w:w="7848" w:type="dxa"/>
            <w:shd w:val="clear" w:color="auto" w:fill="auto"/>
          </w:tcPr>
          <w:p w14:paraId="101353E5" w14:textId="18123F3D" w:rsidR="00B3350C" w:rsidRPr="00BF7C7F" w:rsidRDefault="00B3350C" w:rsidP="0058193B">
            <w:pPr>
              <w:spacing w:before="120" w:after="120"/>
              <w:rPr>
                <w:rFonts w:ascii="Open Sans" w:hAnsi="Open Sans" w:cs="Open Sans"/>
                <w:sz w:val="22"/>
                <w:szCs w:val="22"/>
              </w:rPr>
            </w:pPr>
          </w:p>
        </w:tc>
      </w:tr>
      <w:tr w:rsidR="00B3350C" w:rsidRPr="00BF7C7F" w14:paraId="09F5B5CB" w14:textId="77777777" w:rsidTr="09D121B5">
        <w:trPr>
          <w:trHeight w:val="135"/>
        </w:trPr>
        <w:tc>
          <w:tcPr>
            <w:tcW w:w="2952" w:type="dxa"/>
            <w:shd w:val="clear" w:color="auto" w:fill="auto"/>
          </w:tcPr>
          <w:p w14:paraId="5374FB7C" w14:textId="3BB87904" w:rsidR="0080201D"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Summative/End of Lesson Assessment *</w:t>
            </w:r>
          </w:p>
          <w:p w14:paraId="6CEEAD70" w14:textId="12A5B6A4" w:rsidR="00B3350C" w:rsidRPr="00BF7C7F" w:rsidRDefault="0080201D" w:rsidP="0080201D">
            <w:pPr>
              <w:tabs>
                <w:tab w:val="left" w:pos="2820"/>
              </w:tabs>
              <w:rPr>
                <w:rFonts w:ascii="Open Sans" w:hAnsi="Open Sans" w:cs="Open Sans"/>
                <w:sz w:val="22"/>
                <w:szCs w:val="22"/>
              </w:rPr>
            </w:pPr>
            <w:r w:rsidRPr="00BF7C7F">
              <w:rPr>
                <w:rFonts w:ascii="Open Sans" w:hAnsi="Open Sans" w:cs="Open Sans"/>
                <w:sz w:val="22"/>
                <w:szCs w:val="22"/>
              </w:rPr>
              <w:tab/>
            </w:r>
          </w:p>
        </w:tc>
        <w:tc>
          <w:tcPr>
            <w:tcW w:w="7848" w:type="dxa"/>
            <w:shd w:val="clear" w:color="auto" w:fill="auto"/>
          </w:tcPr>
          <w:p w14:paraId="0FA8F77D"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Legal Systems Exam and Key</w:t>
            </w:r>
          </w:p>
          <w:p w14:paraId="602B3AF8"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Evidence: Individual or Class Discussion Activity Key</w:t>
            </w:r>
          </w:p>
          <w:p w14:paraId="75821DA6"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O.J. Simpson: An Example of Problems with Evidence Key</w:t>
            </w:r>
          </w:p>
          <w:p w14:paraId="1BB8562E"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Legal Systems Crossword Puzzle Key</w:t>
            </w:r>
          </w:p>
          <w:p w14:paraId="09CED358"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Smash and Grab Questions Key</w:t>
            </w:r>
          </w:p>
          <w:p w14:paraId="5E8E8606" w14:textId="6FB4D1F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 xml:space="preserve">Admission </w:t>
            </w:r>
            <w:r w:rsidR="00392787" w:rsidRPr="00192677">
              <w:rPr>
                <w:rFonts w:ascii="Open Sans" w:eastAsia="Arial" w:hAnsi="Open Sans" w:cs="Open Sans"/>
                <w:sz w:val="22"/>
                <w:szCs w:val="22"/>
              </w:rPr>
              <w:t>into</w:t>
            </w:r>
            <w:r w:rsidRPr="00192677">
              <w:rPr>
                <w:rFonts w:ascii="Open Sans" w:eastAsia="Arial" w:hAnsi="Open Sans" w:cs="Open Sans"/>
                <w:sz w:val="22"/>
                <w:szCs w:val="22"/>
              </w:rPr>
              <w:t xml:space="preserve"> Evidence Court Cases Research Key</w:t>
            </w:r>
          </w:p>
          <w:p w14:paraId="1CB870B8"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Debate Rubric</w:t>
            </w:r>
          </w:p>
          <w:p w14:paraId="6AC902D5"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Discussion Rubric</w:t>
            </w:r>
          </w:p>
          <w:p w14:paraId="3C7E83DD"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Individual Work Rubric</w:t>
            </w:r>
          </w:p>
          <w:p w14:paraId="5C959112" w14:textId="77777777" w:rsidR="00410D65"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Research Rubric</w:t>
            </w:r>
          </w:p>
          <w:p w14:paraId="4CB6555D" w14:textId="11AA3CA5" w:rsidR="00CF2E7E" w:rsidRPr="00192677" w:rsidRDefault="00410D65" w:rsidP="00192677">
            <w:pPr>
              <w:pStyle w:val="ListParagraph"/>
              <w:numPr>
                <w:ilvl w:val="0"/>
                <w:numId w:val="48"/>
              </w:numPr>
              <w:rPr>
                <w:rFonts w:ascii="Open Sans" w:hAnsi="Open Sans" w:cs="Open Sans"/>
                <w:sz w:val="22"/>
                <w:szCs w:val="22"/>
              </w:rPr>
            </w:pPr>
            <w:r w:rsidRPr="00192677">
              <w:rPr>
                <w:rFonts w:ascii="Open Sans" w:eastAsia="Arial" w:hAnsi="Open Sans" w:cs="Open Sans"/>
                <w:sz w:val="22"/>
                <w:szCs w:val="22"/>
              </w:rPr>
              <w:t>Writing Rubric</w:t>
            </w:r>
          </w:p>
        </w:tc>
      </w:tr>
      <w:tr w:rsidR="00B3350C" w:rsidRPr="00BF7C7F" w14:paraId="02913EF1" w14:textId="77777777" w:rsidTr="09D121B5">
        <w:trPr>
          <w:trHeight w:val="135"/>
        </w:trPr>
        <w:tc>
          <w:tcPr>
            <w:tcW w:w="2952" w:type="dxa"/>
            <w:shd w:val="clear" w:color="auto" w:fill="auto"/>
          </w:tcPr>
          <w:p w14:paraId="0216DEB4" w14:textId="1E3E55AD"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References/Resources/</w:t>
            </w:r>
          </w:p>
          <w:p w14:paraId="324BDA87" w14:textId="3A4F8FF0"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Teacher Preparation</w:t>
            </w:r>
          </w:p>
        </w:tc>
        <w:tc>
          <w:tcPr>
            <w:tcW w:w="7848" w:type="dxa"/>
            <w:shd w:val="clear" w:color="auto" w:fill="auto"/>
          </w:tcPr>
          <w:p w14:paraId="2D2C3729" w14:textId="77777777" w:rsidR="00410D65" w:rsidRPr="00B20E9B" w:rsidRDefault="00410D65" w:rsidP="00B71332">
            <w:pPr>
              <w:pStyle w:val="ListParagraph"/>
              <w:numPr>
                <w:ilvl w:val="2"/>
                <w:numId w:val="3"/>
              </w:numPr>
              <w:spacing w:line="236" w:lineRule="auto"/>
              <w:ind w:left="360" w:right="140"/>
              <w:rPr>
                <w:rFonts w:ascii="Open Sans" w:hAnsi="Open Sans" w:cs="Open Sans"/>
                <w:sz w:val="22"/>
                <w:szCs w:val="22"/>
              </w:rPr>
            </w:pPr>
            <w:r w:rsidRPr="00B20E9B">
              <w:rPr>
                <w:rFonts w:ascii="Open Sans" w:eastAsia="Arial" w:hAnsi="Open Sans" w:cs="Open Sans"/>
                <w:sz w:val="22"/>
                <w:szCs w:val="22"/>
              </w:rPr>
              <w:t xml:space="preserve">Saferstein, Richard. </w:t>
            </w:r>
            <w:r w:rsidRPr="00B20E9B">
              <w:rPr>
                <w:rFonts w:ascii="Open Sans" w:eastAsia="Arial" w:hAnsi="Open Sans" w:cs="Open Sans"/>
                <w:i/>
                <w:iCs/>
                <w:sz w:val="22"/>
                <w:szCs w:val="22"/>
              </w:rPr>
              <w:t>Forensic Science: An Introduction.</w:t>
            </w:r>
            <w:r w:rsidRPr="00B20E9B">
              <w:rPr>
                <w:rFonts w:ascii="Open Sans" w:eastAsia="Arial" w:hAnsi="Open Sans" w:cs="Open Sans"/>
                <w:sz w:val="22"/>
                <w:szCs w:val="22"/>
              </w:rPr>
              <w:t xml:space="preserve"> New Jersey: Pearson Prentice Hall, 2008.</w:t>
            </w:r>
          </w:p>
          <w:p w14:paraId="144CE6C8" w14:textId="77777777" w:rsidR="00410D65" w:rsidRPr="00B20E9B" w:rsidRDefault="00410D65" w:rsidP="00B71332">
            <w:pPr>
              <w:pStyle w:val="ListParagraph"/>
              <w:numPr>
                <w:ilvl w:val="2"/>
                <w:numId w:val="3"/>
              </w:numPr>
              <w:spacing w:line="238" w:lineRule="auto"/>
              <w:ind w:left="360"/>
              <w:rPr>
                <w:rFonts w:ascii="Open Sans" w:hAnsi="Open Sans" w:cs="Open Sans"/>
                <w:sz w:val="22"/>
                <w:szCs w:val="22"/>
              </w:rPr>
            </w:pPr>
            <w:r w:rsidRPr="00B20E9B">
              <w:rPr>
                <w:rFonts w:ascii="Open Sans" w:eastAsia="Arial" w:hAnsi="Open Sans" w:cs="Open Sans"/>
                <w:sz w:val="22"/>
                <w:szCs w:val="22"/>
              </w:rPr>
              <w:t xml:space="preserve">Bertino, Anthony J. </w:t>
            </w:r>
            <w:r w:rsidRPr="00B20E9B">
              <w:rPr>
                <w:rFonts w:ascii="Open Sans" w:eastAsia="Arial" w:hAnsi="Open Sans" w:cs="Open Sans"/>
                <w:i/>
                <w:iCs/>
                <w:sz w:val="22"/>
                <w:szCs w:val="22"/>
              </w:rPr>
              <w:t>Forensic Science: Fundamentals &amp; Investigations.</w:t>
            </w:r>
            <w:r w:rsidRPr="00B20E9B">
              <w:rPr>
                <w:rFonts w:ascii="Open Sans" w:eastAsia="Arial" w:hAnsi="Open Sans" w:cs="Open Sans"/>
                <w:sz w:val="22"/>
                <w:szCs w:val="22"/>
              </w:rPr>
              <w:t xml:space="preserve"> Mason,</w:t>
            </w:r>
          </w:p>
          <w:p w14:paraId="653E33B0" w14:textId="77777777" w:rsidR="00410D65" w:rsidRPr="00BF7C7F" w:rsidRDefault="00410D65" w:rsidP="00B20E9B">
            <w:pPr>
              <w:spacing w:line="3" w:lineRule="exact"/>
              <w:rPr>
                <w:rFonts w:ascii="Open Sans" w:hAnsi="Open Sans" w:cs="Open Sans"/>
                <w:sz w:val="22"/>
                <w:szCs w:val="22"/>
              </w:rPr>
            </w:pPr>
          </w:p>
          <w:p w14:paraId="1E51C726"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OH: South-Western Cengage Learning, 2009.</w:t>
            </w:r>
          </w:p>
          <w:p w14:paraId="4251B8F9" w14:textId="77777777" w:rsidR="00410D65" w:rsidRPr="00BF7C7F" w:rsidRDefault="00410D65" w:rsidP="00B20E9B">
            <w:pPr>
              <w:spacing w:line="8" w:lineRule="exact"/>
              <w:rPr>
                <w:rFonts w:ascii="Open Sans" w:hAnsi="Open Sans" w:cs="Open Sans"/>
                <w:sz w:val="22"/>
                <w:szCs w:val="22"/>
              </w:rPr>
            </w:pPr>
          </w:p>
          <w:p w14:paraId="5431FCD3" w14:textId="77777777" w:rsidR="00410D65" w:rsidRPr="00B20E9B" w:rsidRDefault="00410D65" w:rsidP="00B71332">
            <w:pPr>
              <w:pStyle w:val="ListParagraph"/>
              <w:numPr>
                <w:ilvl w:val="2"/>
                <w:numId w:val="3"/>
              </w:numPr>
              <w:spacing w:line="236" w:lineRule="auto"/>
              <w:ind w:left="360" w:right="880"/>
              <w:rPr>
                <w:rFonts w:ascii="Open Sans" w:hAnsi="Open Sans" w:cs="Open Sans"/>
                <w:sz w:val="22"/>
                <w:szCs w:val="22"/>
              </w:rPr>
            </w:pPr>
            <w:r w:rsidRPr="00B20E9B">
              <w:rPr>
                <w:rFonts w:ascii="Open Sans" w:eastAsia="Arial" w:hAnsi="Open Sans" w:cs="Open Sans"/>
                <w:sz w:val="22"/>
                <w:szCs w:val="22"/>
              </w:rPr>
              <w:t xml:space="preserve">Deslich, Barbara; Funkhouse, John. </w:t>
            </w:r>
            <w:r w:rsidRPr="00B20E9B">
              <w:rPr>
                <w:rFonts w:ascii="Open Sans" w:eastAsia="Arial" w:hAnsi="Open Sans" w:cs="Open Sans"/>
                <w:i/>
                <w:iCs/>
                <w:sz w:val="22"/>
                <w:szCs w:val="22"/>
              </w:rPr>
              <w:t>Forensic Science for High School</w:t>
            </w:r>
            <w:r w:rsidRPr="00B20E9B">
              <w:rPr>
                <w:rFonts w:ascii="Open Sans" w:eastAsia="Arial" w:hAnsi="Open Sans" w:cs="Open Sans"/>
                <w:sz w:val="22"/>
                <w:szCs w:val="22"/>
              </w:rPr>
              <w:t xml:space="preserve"> Dubuque, Iowa: Kendall/Hunt Publishing Company, 2006.</w:t>
            </w:r>
          </w:p>
          <w:p w14:paraId="1CBD18B9" w14:textId="77777777" w:rsidR="00410D65" w:rsidRPr="00BF7C7F" w:rsidRDefault="00410D65" w:rsidP="00B20E9B">
            <w:pPr>
              <w:spacing w:line="12" w:lineRule="exact"/>
              <w:rPr>
                <w:rFonts w:ascii="Open Sans" w:hAnsi="Open Sans" w:cs="Open Sans"/>
                <w:sz w:val="22"/>
                <w:szCs w:val="22"/>
              </w:rPr>
            </w:pPr>
          </w:p>
          <w:p w14:paraId="1D6A4488" w14:textId="77777777" w:rsidR="00410D65" w:rsidRPr="00B20E9B" w:rsidRDefault="00410D65" w:rsidP="00B71332">
            <w:pPr>
              <w:pStyle w:val="ListParagraph"/>
              <w:numPr>
                <w:ilvl w:val="2"/>
                <w:numId w:val="3"/>
              </w:numPr>
              <w:spacing w:line="236" w:lineRule="auto"/>
              <w:ind w:left="360" w:right="6"/>
              <w:rPr>
                <w:rFonts w:ascii="Open Sans" w:eastAsia="Arial" w:hAnsi="Open Sans" w:cs="Open Sans"/>
                <w:color w:val="0000FF"/>
                <w:sz w:val="22"/>
                <w:szCs w:val="22"/>
                <w:u w:val="single"/>
              </w:rPr>
            </w:pPr>
            <w:r w:rsidRPr="00B20E9B">
              <w:rPr>
                <w:rFonts w:ascii="Open Sans" w:eastAsia="Arial" w:hAnsi="Open Sans" w:cs="Open Sans"/>
                <w:sz w:val="22"/>
                <w:szCs w:val="22"/>
              </w:rPr>
              <w:t xml:space="preserve">Linder, Douglas. “Famous American Trials: The O.J. Simpson Trial.” 2006. University of Missouri-Kansas City School of Law. 31 July 2009. </w:t>
            </w:r>
            <w:hyperlink r:id="rId13">
              <w:r w:rsidRPr="00B20E9B">
                <w:rPr>
                  <w:rFonts w:ascii="Open Sans" w:eastAsia="Arial" w:hAnsi="Open Sans" w:cs="Open Sans"/>
                  <w:color w:val="0000FF"/>
                  <w:sz w:val="22"/>
                  <w:szCs w:val="22"/>
                  <w:u w:val="single"/>
                </w:rPr>
                <w:t>http://www.law.umkc.edu/faculty/projects/ftrials/Simpson/simpson.htm</w:t>
              </w:r>
            </w:hyperlink>
          </w:p>
          <w:p w14:paraId="10D3C849" w14:textId="77777777" w:rsidR="00410D65" w:rsidRPr="00BF7C7F" w:rsidRDefault="00410D65" w:rsidP="00B20E9B">
            <w:pPr>
              <w:spacing w:line="3" w:lineRule="exact"/>
              <w:rPr>
                <w:rFonts w:ascii="Open Sans" w:hAnsi="Open Sans" w:cs="Open Sans"/>
                <w:sz w:val="22"/>
                <w:szCs w:val="22"/>
              </w:rPr>
            </w:pPr>
          </w:p>
          <w:p w14:paraId="27B758CF" w14:textId="77777777" w:rsidR="00410D65" w:rsidRPr="00B20E9B" w:rsidRDefault="00410D65" w:rsidP="00B71332">
            <w:pPr>
              <w:pStyle w:val="ListParagraph"/>
              <w:numPr>
                <w:ilvl w:val="2"/>
                <w:numId w:val="3"/>
              </w:numPr>
              <w:ind w:left="360"/>
              <w:rPr>
                <w:rFonts w:ascii="Open Sans" w:eastAsia="Arial" w:hAnsi="Open Sans" w:cs="Open Sans"/>
                <w:sz w:val="22"/>
                <w:szCs w:val="22"/>
              </w:rPr>
            </w:pPr>
            <w:r w:rsidRPr="00B20E9B">
              <w:rPr>
                <w:rFonts w:ascii="Open Sans" w:eastAsia="Arial" w:hAnsi="Open Sans" w:cs="Open Sans"/>
                <w:sz w:val="22"/>
                <w:szCs w:val="22"/>
              </w:rPr>
              <w:t xml:space="preserve">“The State of California vs. </w:t>
            </w:r>
            <w:hyperlink r:id="rId14">
              <w:r w:rsidRPr="00B20E9B">
                <w:rPr>
                  <w:rFonts w:ascii="Open Sans" w:eastAsia="Arial" w:hAnsi="Open Sans" w:cs="Open Sans"/>
                  <w:sz w:val="22"/>
                  <w:szCs w:val="22"/>
                  <w:u w:val="single"/>
                </w:rPr>
                <w:t xml:space="preserve">Orenthal </w:t>
              </w:r>
            </w:hyperlink>
            <w:r w:rsidRPr="00B20E9B">
              <w:rPr>
                <w:rFonts w:ascii="Open Sans" w:eastAsia="Arial" w:hAnsi="Open Sans" w:cs="Open Sans"/>
                <w:sz w:val="22"/>
                <w:szCs w:val="22"/>
              </w:rPr>
              <w:t>James Simpson” [ transcript of testimony</w:t>
            </w:r>
          </w:p>
          <w:p w14:paraId="3FD6D132"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of William Bodziak]. 19 June 1995. University of Missouri-Kansas City</w:t>
            </w:r>
          </w:p>
          <w:p w14:paraId="2F243665"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School of Law. 31 July 2009.</w:t>
            </w:r>
          </w:p>
          <w:p w14:paraId="1B478242" w14:textId="77777777" w:rsidR="00410D65" w:rsidRPr="00B20E9B" w:rsidRDefault="001D18B8" w:rsidP="00B71332">
            <w:pPr>
              <w:pStyle w:val="ListParagraph"/>
              <w:numPr>
                <w:ilvl w:val="3"/>
                <w:numId w:val="3"/>
              </w:numPr>
              <w:ind w:left="1080"/>
              <w:rPr>
                <w:rFonts w:ascii="Open Sans" w:eastAsia="Arial" w:hAnsi="Open Sans" w:cs="Open Sans"/>
                <w:color w:val="0000FF"/>
                <w:sz w:val="22"/>
                <w:szCs w:val="22"/>
                <w:u w:val="single"/>
              </w:rPr>
            </w:pPr>
            <w:hyperlink r:id="rId15">
              <w:r w:rsidR="00410D65" w:rsidRPr="00B20E9B">
                <w:rPr>
                  <w:rFonts w:ascii="Open Sans" w:eastAsia="Arial" w:hAnsi="Open Sans" w:cs="Open Sans"/>
                  <w:color w:val="0000FF"/>
                  <w:sz w:val="22"/>
                  <w:szCs w:val="22"/>
                  <w:u w:val="single"/>
                </w:rPr>
                <w:t>http://www.law.umkc.edu/faculty/projects/ftrials/Simpson/Bodziak.html</w:t>
              </w:r>
            </w:hyperlink>
          </w:p>
          <w:p w14:paraId="215CCEFB" w14:textId="77777777" w:rsidR="00410D65" w:rsidRPr="00B20E9B" w:rsidRDefault="00410D65" w:rsidP="00B71332">
            <w:pPr>
              <w:pStyle w:val="ListParagraph"/>
              <w:numPr>
                <w:ilvl w:val="2"/>
                <w:numId w:val="3"/>
              </w:numPr>
              <w:ind w:left="360"/>
              <w:rPr>
                <w:rFonts w:ascii="Open Sans" w:hAnsi="Open Sans" w:cs="Open Sans"/>
                <w:sz w:val="22"/>
                <w:szCs w:val="22"/>
              </w:rPr>
            </w:pPr>
            <w:r w:rsidRPr="00B20E9B">
              <w:rPr>
                <w:rFonts w:ascii="Open Sans" w:eastAsia="Arial" w:hAnsi="Open Sans" w:cs="Open Sans"/>
                <w:sz w:val="22"/>
                <w:szCs w:val="22"/>
              </w:rPr>
              <w:t>“The State of California vs. Orenthal James Simpson” [transcript of testimony</w:t>
            </w:r>
          </w:p>
          <w:p w14:paraId="007D4516"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of Henry Lee]. 19 June 1995. University of Missouri-Kansas City School</w:t>
            </w:r>
          </w:p>
          <w:p w14:paraId="60CFFE8F"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of Law. 31 July 2009.</w:t>
            </w:r>
          </w:p>
          <w:p w14:paraId="26659C2D" w14:textId="77777777" w:rsidR="00410D65" w:rsidRPr="00B20E9B" w:rsidRDefault="001D18B8" w:rsidP="00B71332">
            <w:pPr>
              <w:pStyle w:val="ListParagraph"/>
              <w:numPr>
                <w:ilvl w:val="3"/>
                <w:numId w:val="3"/>
              </w:numPr>
              <w:ind w:left="1080"/>
              <w:rPr>
                <w:rFonts w:ascii="Open Sans" w:eastAsia="Arial" w:hAnsi="Open Sans" w:cs="Open Sans"/>
                <w:color w:val="0000FF"/>
                <w:sz w:val="22"/>
                <w:szCs w:val="22"/>
                <w:u w:val="single"/>
              </w:rPr>
            </w:pPr>
            <w:hyperlink r:id="rId16">
              <w:r w:rsidR="00410D65" w:rsidRPr="00B20E9B">
                <w:rPr>
                  <w:rFonts w:ascii="Open Sans" w:eastAsia="Arial" w:hAnsi="Open Sans" w:cs="Open Sans"/>
                  <w:color w:val="0000FF"/>
                  <w:sz w:val="22"/>
                  <w:szCs w:val="22"/>
                  <w:u w:val="single"/>
                </w:rPr>
                <w:t>http://www.law.umkc.edu/faculty/projects/ftrials/Simpson/leetest.html</w:t>
              </w:r>
            </w:hyperlink>
          </w:p>
          <w:p w14:paraId="232542B1" w14:textId="77777777" w:rsidR="00410D65" w:rsidRPr="00B20E9B" w:rsidRDefault="00410D65" w:rsidP="00B71332">
            <w:pPr>
              <w:pStyle w:val="ListParagraph"/>
              <w:numPr>
                <w:ilvl w:val="2"/>
                <w:numId w:val="3"/>
              </w:numPr>
              <w:ind w:left="360"/>
              <w:rPr>
                <w:rFonts w:ascii="Open Sans" w:eastAsia="Arial" w:hAnsi="Open Sans" w:cs="Open Sans"/>
                <w:sz w:val="22"/>
                <w:szCs w:val="22"/>
              </w:rPr>
            </w:pPr>
            <w:r w:rsidRPr="00B20E9B">
              <w:rPr>
                <w:rFonts w:ascii="Open Sans" w:eastAsia="Arial" w:hAnsi="Open Sans" w:cs="Open Sans"/>
                <w:sz w:val="22"/>
                <w:szCs w:val="22"/>
              </w:rPr>
              <w:t xml:space="preserve">Thompson, William. “Proving the Case: The Science of </w:t>
            </w:r>
            <w:hyperlink r:id="rId17">
              <w:r w:rsidRPr="00B20E9B">
                <w:rPr>
                  <w:rFonts w:ascii="Open Sans" w:eastAsia="Arial" w:hAnsi="Open Sans" w:cs="Open Sans"/>
                  <w:sz w:val="22"/>
                  <w:szCs w:val="22"/>
                  <w:u w:val="single"/>
                </w:rPr>
                <w:t>DNA Evidence</w:t>
              </w:r>
            </w:hyperlink>
            <w:r w:rsidRPr="00B20E9B">
              <w:rPr>
                <w:rFonts w:ascii="Open Sans" w:eastAsia="Arial" w:hAnsi="Open Sans" w:cs="Open Sans"/>
                <w:sz w:val="22"/>
                <w:szCs w:val="22"/>
              </w:rPr>
              <w:t>: DNA</w:t>
            </w:r>
          </w:p>
          <w:p w14:paraId="677C39B2"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Evidence in the OJ Simpson Trial.” 30 December 2008. Ramapo College</w:t>
            </w:r>
          </w:p>
          <w:p w14:paraId="23BE40C0" w14:textId="77777777" w:rsidR="00410D65" w:rsidRPr="00B20E9B" w:rsidRDefault="00410D65" w:rsidP="00B71332">
            <w:pPr>
              <w:pStyle w:val="ListParagraph"/>
              <w:numPr>
                <w:ilvl w:val="3"/>
                <w:numId w:val="3"/>
              </w:numPr>
              <w:ind w:left="1080"/>
              <w:rPr>
                <w:rFonts w:ascii="Open Sans" w:hAnsi="Open Sans" w:cs="Open Sans"/>
                <w:sz w:val="22"/>
                <w:szCs w:val="22"/>
              </w:rPr>
            </w:pPr>
            <w:r w:rsidRPr="00B20E9B">
              <w:rPr>
                <w:rFonts w:ascii="Open Sans" w:eastAsia="Arial" w:hAnsi="Open Sans" w:cs="Open Sans"/>
                <w:sz w:val="22"/>
                <w:szCs w:val="22"/>
              </w:rPr>
              <w:t>of New Jersey. 31 July 2009,</w:t>
            </w:r>
          </w:p>
          <w:p w14:paraId="54C6CC7B" w14:textId="77777777" w:rsidR="00410D65" w:rsidRPr="00BF7C7F" w:rsidRDefault="00410D65" w:rsidP="00B20E9B">
            <w:pPr>
              <w:spacing w:line="11" w:lineRule="exact"/>
              <w:rPr>
                <w:rFonts w:ascii="Open Sans" w:hAnsi="Open Sans" w:cs="Open Sans"/>
                <w:sz w:val="22"/>
                <w:szCs w:val="22"/>
              </w:rPr>
            </w:pPr>
          </w:p>
          <w:p w14:paraId="7E4E7EE3" w14:textId="77777777" w:rsidR="00B20E9B" w:rsidRPr="00E903CA" w:rsidRDefault="001D18B8" w:rsidP="00B71332">
            <w:pPr>
              <w:pStyle w:val="ListParagraph"/>
              <w:numPr>
                <w:ilvl w:val="3"/>
                <w:numId w:val="3"/>
              </w:numPr>
              <w:ind w:left="1080"/>
              <w:rPr>
                <w:rFonts w:ascii="Open Sans" w:eastAsia="Arial" w:hAnsi="Open Sans" w:cs="Open Sans"/>
                <w:sz w:val="22"/>
                <w:szCs w:val="22"/>
              </w:rPr>
            </w:pPr>
            <w:hyperlink r:id="rId18" w:history="1">
              <w:r w:rsidR="00B20E9B" w:rsidRPr="00E903CA">
                <w:rPr>
                  <w:rFonts w:ascii="Open Sans" w:eastAsia="Arial" w:hAnsi="Open Sans" w:cs="Open Sans"/>
                  <w:sz w:val="22"/>
                  <w:szCs w:val="22"/>
                </w:rPr>
                <w:t>http://phobos.ramapo.edu/~jweiss/laws131/unit3/simpson.htm</w:t>
              </w:r>
            </w:hyperlink>
          </w:p>
          <w:p w14:paraId="1F7141DE" w14:textId="77777777" w:rsidR="007A11F7" w:rsidRPr="007A11F7" w:rsidRDefault="001D18B8" w:rsidP="00B71332">
            <w:pPr>
              <w:pStyle w:val="ListParagraph"/>
              <w:numPr>
                <w:ilvl w:val="3"/>
                <w:numId w:val="3"/>
              </w:numPr>
              <w:ind w:left="1080"/>
              <w:rPr>
                <w:rFonts w:ascii="Open Sans" w:eastAsia="Arial" w:hAnsi="Open Sans" w:cs="Open Sans"/>
                <w:sz w:val="22"/>
                <w:szCs w:val="22"/>
              </w:rPr>
            </w:pPr>
            <w:hyperlink r:id="rId19" w:history="1">
              <w:r w:rsidR="007A11F7" w:rsidRPr="007A11F7">
                <w:rPr>
                  <w:rFonts w:ascii="Open Sans" w:eastAsia="Arial" w:hAnsi="Open Sans" w:cs="Open Sans"/>
                  <w:sz w:val="22"/>
                  <w:szCs w:val="22"/>
                </w:rPr>
                <w:t>http://www.pbs.org/wgbh/pages/frontline/oj/themes/prosecutionhtml</w:t>
              </w:r>
            </w:hyperlink>
          </w:p>
          <w:p w14:paraId="699F7681" w14:textId="5FE641A5" w:rsidR="00410D65" w:rsidRPr="007A11F7" w:rsidRDefault="001D18B8" w:rsidP="00B71332">
            <w:pPr>
              <w:pStyle w:val="ListParagraph"/>
              <w:numPr>
                <w:ilvl w:val="3"/>
                <w:numId w:val="3"/>
              </w:numPr>
              <w:ind w:left="1080"/>
              <w:rPr>
                <w:rFonts w:ascii="Open Sans" w:eastAsia="Arial" w:hAnsi="Open Sans" w:cs="Open Sans"/>
                <w:sz w:val="22"/>
                <w:szCs w:val="22"/>
              </w:rPr>
            </w:pPr>
            <w:hyperlink r:id="rId20">
              <w:r w:rsidR="00410D65" w:rsidRPr="007A11F7">
                <w:rPr>
                  <w:rFonts w:ascii="Open Sans" w:eastAsia="Arial" w:hAnsi="Open Sans" w:cs="Open Sans"/>
                  <w:sz w:val="22"/>
                  <w:szCs w:val="22"/>
                </w:rPr>
                <w:t>http://www.crimemuseum.org/oj_acquittal_trial_suit</w:t>
              </w:r>
            </w:hyperlink>
          </w:p>
          <w:p w14:paraId="25921B51" w14:textId="77777777" w:rsidR="00410D65" w:rsidRPr="00BF7C7F" w:rsidRDefault="00410D65" w:rsidP="00B20E9B">
            <w:pPr>
              <w:spacing w:line="2" w:lineRule="exact"/>
              <w:rPr>
                <w:rFonts w:ascii="Open Sans" w:eastAsia="Arial" w:hAnsi="Open Sans" w:cs="Open Sans"/>
                <w:color w:val="0000FF"/>
                <w:sz w:val="22"/>
                <w:szCs w:val="22"/>
                <w:u w:val="single"/>
              </w:rPr>
            </w:pPr>
          </w:p>
          <w:p w14:paraId="712EADD7" w14:textId="77777777" w:rsidR="00410D65" w:rsidRPr="00B20E9B" w:rsidRDefault="00410D65" w:rsidP="00B71332">
            <w:pPr>
              <w:pStyle w:val="ListParagraph"/>
              <w:numPr>
                <w:ilvl w:val="2"/>
                <w:numId w:val="3"/>
              </w:numPr>
              <w:spacing w:line="235" w:lineRule="auto"/>
              <w:ind w:left="360" w:right="380"/>
              <w:rPr>
                <w:rFonts w:ascii="Open Sans" w:hAnsi="Open Sans" w:cs="Open Sans"/>
                <w:sz w:val="22"/>
                <w:szCs w:val="22"/>
              </w:rPr>
            </w:pPr>
            <w:r w:rsidRPr="00B20E9B">
              <w:rPr>
                <w:rFonts w:ascii="Open Sans" w:eastAsia="Arial" w:hAnsi="Open Sans" w:cs="Open Sans"/>
                <w:sz w:val="22"/>
                <w:szCs w:val="22"/>
              </w:rPr>
              <w:t>Do an Internet search for a video using the following: Surveillance Video of Smash-and-Grab Robbery in LA.</w:t>
            </w:r>
          </w:p>
          <w:p w14:paraId="230B4636" w14:textId="77777777" w:rsidR="00B3350C" w:rsidRPr="00BF7C7F" w:rsidRDefault="00B3350C" w:rsidP="0058193B">
            <w:pPr>
              <w:spacing w:before="120" w:after="120"/>
              <w:rPr>
                <w:rFonts w:ascii="Open Sans" w:hAnsi="Open Sans" w:cs="Open Sans"/>
                <w:color w:val="FF0000"/>
                <w:sz w:val="22"/>
                <w:szCs w:val="22"/>
              </w:rPr>
            </w:pPr>
          </w:p>
        </w:tc>
      </w:tr>
      <w:tr w:rsidR="00B3350C" w:rsidRPr="00BF7C7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Additional Required Components</w:t>
            </w:r>
          </w:p>
        </w:tc>
      </w:tr>
      <w:tr w:rsidR="00B3350C" w:rsidRPr="00BF7C7F" w14:paraId="17A4CF5D" w14:textId="77777777" w:rsidTr="09D121B5">
        <w:trPr>
          <w:trHeight w:val="485"/>
        </w:trPr>
        <w:tc>
          <w:tcPr>
            <w:tcW w:w="2952" w:type="dxa"/>
            <w:shd w:val="clear" w:color="auto" w:fill="auto"/>
          </w:tcPr>
          <w:p w14:paraId="07A69FE4" w14:textId="4678019B"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F7C7F" w:rsidRDefault="00B3350C" w:rsidP="0058193B">
            <w:pPr>
              <w:spacing w:before="120" w:after="120"/>
              <w:rPr>
                <w:rFonts w:ascii="Open Sans" w:hAnsi="Open Sans" w:cs="Open Sans"/>
                <w:sz w:val="22"/>
                <w:szCs w:val="22"/>
              </w:rPr>
            </w:pPr>
          </w:p>
        </w:tc>
      </w:tr>
      <w:tr w:rsidR="00B3350C" w:rsidRPr="00BF7C7F" w14:paraId="13D42D07" w14:textId="77777777" w:rsidTr="09D121B5">
        <w:trPr>
          <w:trHeight w:val="737"/>
        </w:trPr>
        <w:tc>
          <w:tcPr>
            <w:tcW w:w="2952" w:type="dxa"/>
            <w:shd w:val="clear" w:color="auto" w:fill="auto"/>
          </w:tcPr>
          <w:p w14:paraId="28B3D5E3" w14:textId="0171714D" w:rsidR="00B3350C" w:rsidRPr="00BF7C7F" w:rsidRDefault="00B3350C"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College and Career Readiness Connection</w:t>
            </w:r>
            <w:r w:rsidR="00A3064F" w:rsidRPr="00BF7C7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BF7C7F" w:rsidRDefault="00B3350C" w:rsidP="0058193B">
            <w:pPr>
              <w:spacing w:before="120" w:after="120"/>
              <w:rPr>
                <w:rFonts w:ascii="Open Sans" w:hAnsi="Open Sans" w:cs="Open Sans"/>
                <w:sz w:val="22"/>
                <w:szCs w:val="22"/>
              </w:rPr>
            </w:pPr>
          </w:p>
        </w:tc>
      </w:tr>
      <w:tr w:rsidR="00B3350C" w:rsidRPr="00BF7C7F"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Recommended Strategies</w:t>
            </w:r>
          </w:p>
        </w:tc>
      </w:tr>
      <w:tr w:rsidR="00B3350C" w:rsidRPr="00BF7C7F" w14:paraId="15010D4A" w14:textId="77777777" w:rsidTr="09D121B5">
        <w:trPr>
          <w:trHeight w:val="512"/>
        </w:trPr>
        <w:tc>
          <w:tcPr>
            <w:tcW w:w="2952" w:type="dxa"/>
            <w:shd w:val="clear" w:color="auto" w:fill="auto"/>
          </w:tcPr>
          <w:p w14:paraId="57BD3680" w14:textId="519E0340"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Reading Strategies</w:t>
            </w:r>
          </w:p>
        </w:tc>
        <w:tc>
          <w:tcPr>
            <w:tcW w:w="7848" w:type="dxa"/>
            <w:shd w:val="clear" w:color="auto" w:fill="auto"/>
          </w:tcPr>
          <w:p w14:paraId="10E0A405" w14:textId="77777777" w:rsidR="00B3350C" w:rsidRPr="00BF7C7F" w:rsidRDefault="00B3350C" w:rsidP="0058193B">
            <w:pPr>
              <w:spacing w:before="120" w:after="120"/>
              <w:rPr>
                <w:rFonts w:ascii="Open Sans" w:hAnsi="Open Sans" w:cs="Open Sans"/>
                <w:sz w:val="22"/>
                <w:szCs w:val="22"/>
              </w:rPr>
            </w:pPr>
          </w:p>
        </w:tc>
      </w:tr>
      <w:tr w:rsidR="00B3350C" w:rsidRPr="00BF7C7F" w14:paraId="1B8F084A" w14:textId="77777777" w:rsidTr="09D121B5">
        <w:trPr>
          <w:trHeight w:val="530"/>
        </w:trPr>
        <w:tc>
          <w:tcPr>
            <w:tcW w:w="2952" w:type="dxa"/>
            <w:shd w:val="clear" w:color="auto" w:fill="auto"/>
          </w:tcPr>
          <w:p w14:paraId="64678F92" w14:textId="35EF84B8"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Quotes</w:t>
            </w:r>
          </w:p>
        </w:tc>
        <w:tc>
          <w:tcPr>
            <w:tcW w:w="7848" w:type="dxa"/>
            <w:shd w:val="clear" w:color="auto" w:fill="auto"/>
          </w:tcPr>
          <w:p w14:paraId="73FBBD03" w14:textId="77777777" w:rsidR="00B3350C" w:rsidRPr="00BF7C7F" w:rsidRDefault="00B3350C" w:rsidP="0058193B">
            <w:pPr>
              <w:spacing w:before="120" w:after="120"/>
              <w:rPr>
                <w:rFonts w:ascii="Open Sans" w:hAnsi="Open Sans" w:cs="Open Sans"/>
                <w:sz w:val="22"/>
                <w:szCs w:val="22"/>
              </w:rPr>
            </w:pPr>
          </w:p>
        </w:tc>
      </w:tr>
      <w:tr w:rsidR="00B3350C" w:rsidRPr="00BF7C7F" w14:paraId="01ABF569" w14:textId="77777777" w:rsidTr="09D121B5">
        <w:trPr>
          <w:trHeight w:val="1160"/>
        </w:trPr>
        <w:tc>
          <w:tcPr>
            <w:tcW w:w="2952" w:type="dxa"/>
            <w:shd w:val="clear" w:color="auto" w:fill="auto"/>
          </w:tcPr>
          <w:p w14:paraId="593DBD72" w14:textId="40C351D9" w:rsidR="00B3350C" w:rsidRPr="00BF7C7F" w:rsidRDefault="09D121B5" w:rsidP="09D121B5">
            <w:pPr>
              <w:jc w:val="center"/>
              <w:rPr>
                <w:rFonts w:ascii="Open Sans" w:hAnsi="Open Sans" w:cs="Open Sans"/>
                <w:b/>
                <w:bCs/>
                <w:sz w:val="22"/>
                <w:szCs w:val="22"/>
              </w:rPr>
            </w:pPr>
            <w:bookmarkStart w:id="1" w:name="_GoBack"/>
            <w:r w:rsidRPr="00BF7C7F">
              <w:rPr>
                <w:rFonts w:ascii="Open Sans" w:hAnsi="Open Sans" w:cs="Open Sans"/>
                <w:b/>
                <w:bCs/>
                <w:sz w:val="22"/>
                <w:szCs w:val="22"/>
              </w:rPr>
              <w:t>Multimedia/Visual Strategy</w:t>
            </w:r>
          </w:p>
          <w:p w14:paraId="3099B1F4" w14:textId="74E6B804" w:rsidR="00B3350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F7C7F" w:rsidRDefault="00B3350C" w:rsidP="0058193B">
            <w:pPr>
              <w:spacing w:before="120" w:after="120"/>
              <w:rPr>
                <w:rFonts w:ascii="Open Sans" w:hAnsi="Open Sans" w:cs="Open Sans"/>
                <w:sz w:val="22"/>
                <w:szCs w:val="22"/>
              </w:rPr>
            </w:pPr>
          </w:p>
        </w:tc>
      </w:tr>
      <w:bookmarkEnd w:id="1"/>
      <w:tr w:rsidR="00B3350C" w:rsidRPr="00BF7C7F" w14:paraId="258F6118" w14:textId="77777777" w:rsidTr="09D121B5">
        <w:tc>
          <w:tcPr>
            <w:tcW w:w="2952" w:type="dxa"/>
            <w:shd w:val="clear" w:color="auto" w:fill="auto"/>
          </w:tcPr>
          <w:p w14:paraId="3CF2726B" w14:textId="49C5C493"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Graphic Organizers/Handout</w:t>
            </w:r>
          </w:p>
        </w:tc>
        <w:tc>
          <w:tcPr>
            <w:tcW w:w="7848" w:type="dxa"/>
            <w:shd w:val="clear" w:color="auto" w:fill="auto"/>
          </w:tcPr>
          <w:p w14:paraId="3C1C5255" w14:textId="77777777" w:rsidR="00B3350C" w:rsidRPr="00BF7C7F" w:rsidRDefault="00B3350C" w:rsidP="0058193B">
            <w:pPr>
              <w:spacing w:before="120" w:after="120"/>
              <w:rPr>
                <w:rFonts w:ascii="Open Sans" w:hAnsi="Open Sans" w:cs="Open Sans"/>
                <w:sz w:val="22"/>
                <w:szCs w:val="22"/>
              </w:rPr>
            </w:pPr>
          </w:p>
        </w:tc>
      </w:tr>
      <w:tr w:rsidR="00B3350C" w:rsidRPr="00BF7C7F" w14:paraId="4E7081C3" w14:textId="77777777" w:rsidTr="09D121B5">
        <w:trPr>
          <w:trHeight w:val="135"/>
        </w:trPr>
        <w:tc>
          <w:tcPr>
            <w:tcW w:w="2952" w:type="dxa"/>
            <w:shd w:val="clear" w:color="auto" w:fill="auto"/>
          </w:tcPr>
          <w:p w14:paraId="088CA3DF" w14:textId="30B7C2ED" w:rsidR="00B3350C" w:rsidRPr="00BF7C7F" w:rsidRDefault="09D121B5" w:rsidP="09D121B5">
            <w:pPr>
              <w:spacing w:before="120"/>
              <w:jc w:val="center"/>
              <w:rPr>
                <w:rFonts w:ascii="Open Sans" w:hAnsi="Open Sans" w:cs="Open Sans"/>
                <w:b/>
                <w:bCs/>
                <w:sz w:val="22"/>
                <w:szCs w:val="22"/>
              </w:rPr>
            </w:pPr>
            <w:r w:rsidRPr="00BF7C7F">
              <w:rPr>
                <w:rFonts w:ascii="Open Sans" w:hAnsi="Open Sans" w:cs="Open Sans"/>
                <w:b/>
                <w:bCs/>
                <w:sz w:val="22"/>
                <w:szCs w:val="22"/>
              </w:rPr>
              <w:t>Writing Strategies</w:t>
            </w:r>
          </w:p>
          <w:p w14:paraId="167766CC" w14:textId="77777777" w:rsidR="00B3350C" w:rsidRPr="00BF7C7F" w:rsidRDefault="09D121B5" w:rsidP="09D121B5">
            <w:pPr>
              <w:spacing w:after="120"/>
              <w:jc w:val="center"/>
              <w:rPr>
                <w:rFonts w:ascii="Open Sans" w:hAnsi="Open Sans" w:cs="Open Sans"/>
                <w:b/>
                <w:bCs/>
                <w:sz w:val="22"/>
                <w:szCs w:val="22"/>
              </w:rPr>
            </w:pPr>
            <w:r w:rsidRPr="00BF7C7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F7C7F" w:rsidRDefault="00392521" w:rsidP="0058193B">
            <w:pPr>
              <w:spacing w:before="120" w:after="120"/>
              <w:rPr>
                <w:rFonts w:ascii="Open Sans" w:hAnsi="Open Sans" w:cs="Open Sans"/>
                <w:sz w:val="22"/>
                <w:szCs w:val="22"/>
              </w:rPr>
            </w:pPr>
          </w:p>
          <w:p w14:paraId="6920044E" w14:textId="77777777" w:rsidR="00B3350C" w:rsidRPr="00BF7C7F" w:rsidRDefault="00B3350C" w:rsidP="00392521">
            <w:pPr>
              <w:jc w:val="center"/>
              <w:rPr>
                <w:rFonts w:ascii="Open Sans" w:hAnsi="Open Sans" w:cs="Open Sans"/>
                <w:sz w:val="22"/>
                <w:szCs w:val="22"/>
              </w:rPr>
            </w:pPr>
          </w:p>
        </w:tc>
      </w:tr>
      <w:tr w:rsidR="00B3350C" w:rsidRPr="00BF7C7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F7C7F" w:rsidRDefault="09D121B5" w:rsidP="09D121B5">
            <w:pPr>
              <w:spacing w:before="120"/>
              <w:jc w:val="center"/>
              <w:rPr>
                <w:rFonts w:ascii="Open Sans" w:hAnsi="Open Sans" w:cs="Open Sans"/>
                <w:b/>
                <w:bCs/>
                <w:sz w:val="22"/>
                <w:szCs w:val="22"/>
              </w:rPr>
            </w:pPr>
            <w:r w:rsidRPr="00BF7C7F">
              <w:rPr>
                <w:rFonts w:ascii="Open Sans" w:hAnsi="Open Sans" w:cs="Open Sans"/>
                <w:b/>
                <w:bCs/>
                <w:sz w:val="22"/>
                <w:szCs w:val="22"/>
              </w:rPr>
              <w:t>Communication</w:t>
            </w:r>
          </w:p>
          <w:p w14:paraId="1C68BAFD" w14:textId="77777777" w:rsidR="00B3350C" w:rsidRPr="00BF7C7F" w:rsidRDefault="09D121B5" w:rsidP="09D121B5">
            <w:pPr>
              <w:spacing w:after="120"/>
              <w:jc w:val="center"/>
              <w:rPr>
                <w:rFonts w:ascii="Open Sans" w:hAnsi="Open Sans" w:cs="Open Sans"/>
                <w:b/>
                <w:bCs/>
                <w:sz w:val="22"/>
                <w:szCs w:val="22"/>
              </w:rPr>
            </w:pPr>
            <w:r w:rsidRPr="00BF7C7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F7C7F" w:rsidRDefault="00B3350C" w:rsidP="0058193B">
            <w:pPr>
              <w:spacing w:before="120" w:after="120"/>
              <w:rPr>
                <w:rFonts w:ascii="Open Sans" w:hAnsi="Open Sans" w:cs="Open Sans"/>
                <w:sz w:val="22"/>
                <w:szCs w:val="22"/>
              </w:rPr>
            </w:pPr>
          </w:p>
        </w:tc>
      </w:tr>
      <w:tr w:rsidR="00B3350C" w:rsidRPr="00BF7C7F" w14:paraId="16815B57" w14:textId="77777777" w:rsidTr="09D121B5">
        <w:tc>
          <w:tcPr>
            <w:tcW w:w="10800" w:type="dxa"/>
            <w:gridSpan w:val="2"/>
            <w:shd w:val="clear" w:color="auto" w:fill="D9D9D9" w:themeFill="background1" w:themeFillShade="D9"/>
          </w:tcPr>
          <w:p w14:paraId="03C0CCE7" w14:textId="77777777"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Other Essential Lesson Components</w:t>
            </w:r>
          </w:p>
        </w:tc>
      </w:tr>
      <w:tr w:rsidR="00B3350C" w:rsidRPr="00BF7C7F" w14:paraId="2F92C5B5" w14:textId="77777777" w:rsidTr="09D121B5">
        <w:trPr>
          <w:trHeight w:val="404"/>
        </w:trPr>
        <w:tc>
          <w:tcPr>
            <w:tcW w:w="2952" w:type="dxa"/>
            <w:shd w:val="clear" w:color="auto" w:fill="auto"/>
          </w:tcPr>
          <w:p w14:paraId="3DB02087" w14:textId="77777777" w:rsidR="009C0DFC" w:rsidRPr="00BF7C7F" w:rsidRDefault="09D121B5" w:rsidP="09D121B5">
            <w:pPr>
              <w:jc w:val="center"/>
              <w:rPr>
                <w:rFonts w:ascii="Open Sans" w:hAnsi="Open Sans" w:cs="Open Sans"/>
                <w:b/>
                <w:bCs/>
                <w:sz w:val="22"/>
                <w:szCs w:val="22"/>
              </w:rPr>
            </w:pPr>
            <w:r w:rsidRPr="00BF7C7F">
              <w:rPr>
                <w:rFonts w:ascii="Open Sans" w:hAnsi="Open Sans" w:cs="Open Sans"/>
                <w:b/>
                <w:bCs/>
                <w:sz w:val="22"/>
                <w:szCs w:val="22"/>
              </w:rPr>
              <w:t>Enrichment Activity</w:t>
            </w:r>
          </w:p>
          <w:p w14:paraId="7B99CC87" w14:textId="1A043DE0" w:rsidR="00B3350C" w:rsidRPr="00BF7C7F" w:rsidRDefault="09D121B5" w:rsidP="09D121B5">
            <w:pPr>
              <w:jc w:val="center"/>
              <w:rPr>
                <w:rFonts w:ascii="Open Sans" w:hAnsi="Open Sans" w:cs="Open Sans"/>
                <w:sz w:val="22"/>
                <w:szCs w:val="22"/>
              </w:rPr>
            </w:pPr>
            <w:r w:rsidRPr="00BF7C7F">
              <w:rPr>
                <w:rFonts w:ascii="Open Sans" w:hAnsi="Open Sans" w:cs="Open Sans"/>
                <w:sz w:val="22"/>
                <w:szCs w:val="22"/>
              </w:rPr>
              <w:t>(e.g., homework assignment)</w:t>
            </w:r>
          </w:p>
        </w:tc>
        <w:tc>
          <w:tcPr>
            <w:tcW w:w="7848" w:type="dxa"/>
            <w:shd w:val="clear" w:color="auto" w:fill="auto"/>
          </w:tcPr>
          <w:p w14:paraId="21E3B28F" w14:textId="63836309" w:rsidR="00410D65" w:rsidRPr="00BF7C7F" w:rsidRDefault="00410D65" w:rsidP="00410D65">
            <w:pPr>
              <w:spacing w:line="238" w:lineRule="auto"/>
              <w:rPr>
                <w:rFonts w:ascii="Open Sans" w:hAnsi="Open Sans" w:cs="Open Sans"/>
                <w:sz w:val="22"/>
                <w:szCs w:val="22"/>
              </w:rPr>
            </w:pPr>
            <w:r w:rsidRPr="00BF7C7F">
              <w:rPr>
                <w:rFonts w:ascii="Open Sans" w:eastAsia="Arial" w:hAnsi="Open Sans" w:cs="Open Sans"/>
                <w:sz w:val="22"/>
                <w:szCs w:val="22"/>
              </w:rPr>
              <w:t xml:space="preserve">For enrichment, students will investigate five landmark court cases which have improved the admissibility of scientific evidence in court. Students will complete the Admission </w:t>
            </w:r>
            <w:r w:rsidR="00392787" w:rsidRPr="00BF7C7F">
              <w:rPr>
                <w:rFonts w:ascii="Open Sans" w:eastAsia="Arial" w:hAnsi="Open Sans" w:cs="Open Sans"/>
                <w:sz w:val="22"/>
                <w:szCs w:val="22"/>
              </w:rPr>
              <w:t>into</w:t>
            </w:r>
            <w:r w:rsidRPr="00BF7C7F">
              <w:rPr>
                <w:rFonts w:ascii="Open Sans" w:eastAsia="Arial" w:hAnsi="Open Sans" w:cs="Open Sans"/>
                <w:sz w:val="22"/>
                <w:szCs w:val="22"/>
              </w:rPr>
              <w:t xml:space="preserve"> Evidence Court Cases Research Handout. Use the Admission </w:t>
            </w:r>
            <w:r w:rsidR="00392787" w:rsidRPr="00BF7C7F">
              <w:rPr>
                <w:rFonts w:ascii="Open Sans" w:eastAsia="Arial" w:hAnsi="Open Sans" w:cs="Open Sans"/>
                <w:sz w:val="22"/>
                <w:szCs w:val="22"/>
              </w:rPr>
              <w:t>into</w:t>
            </w:r>
            <w:r w:rsidRPr="00BF7C7F">
              <w:rPr>
                <w:rFonts w:ascii="Open Sans" w:eastAsia="Arial" w:hAnsi="Open Sans" w:cs="Open Sans"/>
                <w:sz w:val="22"/>
                <w:szCs w:val="22"/>
              </w:rPr>
              <w:t xml:space="preserve"> Evidence Court Cases Research Key and the Research Rubric for assessment.</w:t>
            </w:r>
          </w:p>
          <w:p w14:paraId="56485286" w14:textId="77777777" w:rsidR="00B3350C" w:rsidRPr="00BF7C7F" w:rsidRDefault="00B3350C" w:rsidP="0058193B">
            <w:pPr>
              <w:spacing w:before="120" w:after="120"/>
              <w:rPr>
                <w:rFonts w:ascii="Open Sans" w:hAnsi="Open Sans" w:cs="Open Sans"/>
                <w:sz w:val="22"/>
                <w:szCs w:val="22"/>
              </w:rPr>
            </w:pPr>
          </w:p>
        </w:tc>
      </w:tr>
      <w:tr w:rsidR="00B3350C" w:rsidRPr="00BF7C7F" w14:paraId="7A48E1E2" w14:textId="77777777" w:rsidTr="09D121B5">
        <w:tc>
          <w:tcPr>
            <w:tcW w:w="2952" w:type="dxa"/>
            <w:shd w:val="clear" w:color="auto" w:fill="auto"/>
          </w:tcPr>
          <w:p w14:paraId="2CB7813A" w14:textId="444C38A1"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Family/Community Connection</w:t>
            </w:r>
          </w:p>
        </w:tc>
        <w:tc>
          <w:tcPr>
            <w:tcW w:w="7848" w:type="dxa"/>
            <w:shd w:val="clear" w:color="auto" w:fill="auto"/>
          </w:tcPr>
          <w:p w14:paraId="16E56B0F" w14:textId="77777777" w:rsidR="00B3350C" w:rsidRPr="00BF7C7F" w:rsidRDefault="00B3350C" w:rsidP="0058193B">
            <w:pPr>
              <w:spacing w:before="120" w:after="120"/>
              <w:rPr>
                <w:rFonts w:ascii="Open Sans" w:hAnsi="Open Sans" w:cs="Open Sans"/>
                <w:sz w:val="22"/>
                <w:szCs w:val="22"/>
              </w:rPr>
            </w:pPr>
          </w:p>
        </w:tc>
      </w:tr>
      <w:tr w:rsidR="00B3350C" w:rsidRPr="00BF7C7F" w14:paraId="7E731849" w14:textId="77777777" w:rsidTr="09D121B5">
        <w:trPr>
          <w:trHeight w:val="548"/>
        </w:trPr>
        <w:tc>
          <w:tcPr>
            <w:tcW w:w="2952" w:type="dxa"/>
            <w:shd w:val="clear" w:color="auto" w:fill="auto"/>
          </w:tcPr>
          <w:p w14:paraId="590E8739" w14:textId="09BDFA6F" w:rsidR="00B3350C" w:rsidRPr="00BF7C7F" w:rsidRDefault="09D121B5" w:rsidP="09D121B5">
            <w:pPr>
              <w:spacing w:before="120" w:after="120"/>
              <w:jc w:val="center"/>
              <w:rPr>
                <w:rFonts w:ascii="Open Sans" w:hAnsi="Open Sans" w:cs="Open Sans"/>
                <w:b/>
                <w:bCs/>
                <w:sz w:val="22"/>
                <w:szCs w:val="22"/>
              </w:rPr>
            </w:pPr>
            <w:r w:rsidRPr="00BF7C7F">
              <w:rPr>
                <w:rFonts w:ascii="Open Sans" w:hAnsi="Open Sans" w:cs="Open Sans"/>
                <w:b/>
                <w:bCs/>
                <w:sz w:val="22"/>
                <w:szCs w:val="22"/>
              </w:rPr>
              <w:t>CTSO connection(s)</w:t>
            </w:r>
          </w:p>
        </w:tc>
        <w:tc>
          <w:tcPr>
            <w:tcW w:w="7848" w:type="dxa"/>
            <w:shd w:val="clear" w:color="auto" w:fill="auto"/>
          </w:tcPr>
          <w:p w14:paraId="1D6673BF" w14:textId="27CA3886" w:rsidR="00B3350C" w:rsidRPr="00BF7C7F" w:rsidRDefault="000961FD" w:rsidP="0058193B">
            <w:pPr>
              <w:spacing w:before="120" w:after="120"/>
              <w:rPr>
                <w:rFonts w:ascii="Open Sans" w:hAnsi="Open Sans" w:cs="Open Sans"/>
                <w:sz w:val="22"/>
                <w:szCs w:val="22"/>
                <w:lang w:val="es-MX"/>
              </w:rPr>
            </w:pPr>
            <w:r w:rsidRPr="00BF7C7F">
              <w:rPr>
                <w:rFonts w:ascii="Open Sans" w:hAnsi="Open Sans" w:cs="Open Sans"/>
                <w:sz w:val="22"/>
                <w:szCs w:val="22"/>
              </w:rPr>
              <w:t>SkillsUSA</w:t>
            </w:r>
          </w:p>
        </w:tc>
      </w:tr>
      <w:tr w:rsidR="00B3350C" w:rsidRPr="00BF7C7F" w14:paraId="2288B088" w14:textId="77777777" w:rsidTr="09D121B5">
        <w:trPr>
          <w:trHeight w:val="305"/>
        </w:trPr>
        <w:tc>
          <w:tcPr>
            <w:tcW w:w="2952" w:type="dxa"/>
            <w:shd w:val="clear" w:color="auto" w:fill="auto"/>
          </w:tcPr>
          <w:p w14:paraId="2077A7AD" w14:textId="452D5E10" w:rsidR="00B3350C" w:rsidRPr="00BF7C7F" w:rsidRDefault="00B3350C" w:rsidP="0058193B">
            <w:pPr>
              <w:spacing w:before="120" w:after="120"/>
              <w:jc w:val="center"/>
              <w:rPr>
                <w:rFonts w:ascii="Open Sans" w:hAnsi="Open Sans" w:cs="Open Sans"/>
                <w:b/>
                <w:noProof/>
                <w:sz w:val="22"/>
                <w:szCs w:val="22"/>
              </w:rPr>
            </w:pPr>
            <w:r w:rsidRPr="00BF7C7F">
              <w:rPr>
                <w:rFonts w:ascii="Open Sans" w:hAnsi="Open Sans" w:cs="Open Sans"/>
                <w:b/>
                <w:noProof/>
                <w:sz w:val="22"/>
                <w:szCs w:val="22"/>
              </w:rPr>
              <w:t>Service Learning Projects</w:t>
            </w:r>
          </w:p>
        </w:tc>
        <w:tc>
          <w:tcPr>
            <w:tcW w:w="7848" w:type="dxa"/>
            <w:shd w:val="clear" w:color="auto" w:fill="auto"/>
          </w:tcPr>
          <w:p w14:paraId="296854C4" w14:textId="77777777" w:rsidR="00B3350C" w:rsidRPr="00BF7C7F" w:rsidRDefault="00B3350C" w:rsidP="0058193B">
            <w:pPr>
              <w:spacing w:before="120" w:after="120"/>
              <w:rPr>
                <w:rFonts w:ascii="Open Sans" w:hAnsi="Open Sans" w:cs="Open Sans"/>
                <w:sz w:val="22"/>
                <w:szCs w:val="22"/>
              </w:rPr>
            </w:pPr>
          </w:p>
        </w:tc>
      </w:tr>
      <w:tr w:rsidR="001B2F76" w:rsidRPr="00BF7C7F" w14:paraId="680EB37A" w14:textId="77777777" w:rsidTr="09D121B5">
        <w:trPr>
          <w:trHeight w:val="305"/>
        </w:trPr>
        <w:tc>
          <w:tcPr>
            <w:tcW w:w="2952" w:type="dxa"/>
            <w:shd w:val="clear" w:color="auto" w:fill="auto"/>
          </w:tcPr>
          <w:p w14:paraId="06EE8551" w14:textId="6B7E5A7D" w:rsidR="001B2F76" w:rsidRPr="00BF7C7F" w:rsidRDefault="00BB45D6" w:rsidP="0058193B">
            <w:pPr>
              <w:spacing w:before="120" w:after="120"/>
              <w:jc w:val="center"/>
              <w:rPr>
                <w:rFonts w:ascii="Open Sans" w:hAnsi="Open Sans" w:cs="Open Sans"/>
                <w:b/>
                <w:noProof/>
                <w:sz w:val="22"/>
                <w:szCs w:val="22"/>
              </w:rPr>
            </w:pPr>
            <w:r w:rsidRPr="00BF7C7F">
              <w:rPr>
                <w:rFonts w:ascii="Open Sans" w:hAnsi="Open Sans" w:cs="Open Sans"/>
                <w:b/>
                <w:noProof/>
                <w:sz w:val="22"/>
                <w:szCs w:val="22"/>
              </w:rPr>
              <w:t xml:space="preserve">Lesson </w:t>
            </w:r>
            <w:r w:rsidR="001B2F76" w:rsidRPr="00BF7C7F">
              <w:rPr>
                <w:rFonts w:ascii="Open Sans" w:hAnsi="Open Sans" w:cs="Open Sans"/>
                <w:b/>
                <w:noProof/>
                <w:sz w:val="22"/>
                <w:szCs w:val="22"/>
              </w:rPr>
              <w:t>Notes</w:t>
            </w:r>
          </w:p>
        </w:tc>
        <w:tc>
          <w:tcPr>
            <w:tcW w:w="7848" w:type="dxa"/>
            <w:shd w:val="clear" w:color="auto" w:fill="auto"/>
          </w:tcPr>
          <w:p w14:paraId="077D2C07" w14:textId="77777777" w:rsidR="001B2F76" w:rsidRPr="00BF7C7F" w:rsidRDefault="001B2F76" w:rsidP="0058193B">
            <w:pPr>
              <w:spacing w:before="120" w:after="120"/>
              <w:rPr>
                <w:rFonts w:ascii="Open Sans" w:hAnsi="Open Sans" w:cs="Open Sans"/>
                <w:sz w:val="22"/>
                <w:szCs w:val="22"/>
              </w:rPr>
            </w:pPr>
          </w:p>
        </w:tc>
      </w:tr>
    </w:tbl>
    <w:p w14:paraId="70E91643" w14:textId="61E9BBCE" w:rsidR="003A5AF5" w:rsidRDefault="003A5AF5" w:rsidP="00B20E9B"/>
    <w:sectPr w:rsidR="003A5AF5"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4E9A2" w14:textId="77777777" w:rsidR="001D18B8" w:rsidRDefault="001D18B8" w:rsidP="00B3350C">
      <w:r>
        <w:separator/>
      </w:r>
    </w:p>
  </w:endnote>
  <w:endnote w:type="continuationSeparator" w:id="0">
    <w:p w14:paraId="2B1F1170" w14:textId="77777777" w:rsidR="001D18B8" w:rsidRDefault="001D18B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58193B" w:rsidRDefault="00581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07583"/>
      <w:docPartObj>
        <w:docPartGallery w:val="Page Numbers (Bottom of Page)"/>
        <w:docPartUnique/>
      </w:docPartObj>
    </w:sdtPr>
    <w:sdtEndPr/>
    <w:sdtContent>
      <w:sdt>
        <w:sdtPr>
          <w:id w:val="866590"/>
          <w:docPartObj>
            <w:docPartGallery w:val="Page Numbers (Top of Page)"/>
            <w:docPartUnique/>
          </w:docPartObj>
        </w:sdtPr>
        <w:sdtEndPr/>
        <w:sdtContent>
          <w:p w14:paraId="4759E10B" w14:textId="177A0E2A" w:rsidR="0058193B" w:rsidRPr="00754DDE" w:rsidRDefault="0058193B"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073C3FD" w:rsidR="0058193B" w:rsidRDefault="0058193B"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1D18B8">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1D18B8">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58193B" w:rsidRDefault="0058193B"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58193B" w:rsidRDefault="00581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99FA" w14:textId="77777777" w:rsidR="001D18B8" w:rsidRDefault="001D18B8" w:rsidP="00B3350C">
      <w:bookmarkStart w:id="0" w:name="_Hlk484955581"/>
      <w:bookmarkEnd w:id="0"/>
      <w:r>
        <w:separator/>
      </w:r>
    </w:p>
  </w:footnote>
  <w:footnote w:type="continuationSeparator" w:id="0">
    <w:p w14:paraId="15EFE858" w14:textId="77777777" w:rsidR="001D18B8" w:rsidRDefault="001D18B8" w:rsidP="00B3350C">
      <w:r>
        <w:continuationSeparator/>
      </w:r>
    </w:p>
  </w:footnote>
  <w:footnote w:id="1">
    <w:p w14:paraId="7814498C" w14:textId="03764860" w:rsidR="0058193B" w:rsidRDefault="0058193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58193B" w:rsidRDefault="00581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58193B" w:rsidRDefault="0058193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4" name="Picture 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58193B" w:rsidRDefault="0058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967"/>
    <w:multiLevelType w:val="hybridMultilevel"/>
    <w:tmpl w:val="C09249E2"/>
    <w:lvl w:ilvl="0" w:tplc="A67462DC">
      <w:start w:val="1"/>
      <w:numFmt w:val="bullet"/>
      <w:lvlText w:val=""/>
      <w:lvlJc w:val="left"/>
      <w:pPr>
        <w:ind w:left="2160" w:hanging="360"/>
      </w:pPr>
      <w:rPr>
        <w:rFonts w:ascii="Wingdings" w:hAnsi="Wingdings" w:hint="default"/>
        <w:strike w:val="0"/>
        <w:dstrike/>
        <w:color w:val="000000" w:themeColor="text1"/>
      </w:rPr>
    </w:lvl>
    <w:lvl w:ilvl="1" w:tplc="04090003">
      <w:start w:val="1"/>
      <w:numFmt w:val="bullet"/>
      <w:lvlText w:val="o"/>
      <w:lvlJc w:val="left"/>
      <w:pPr>
        <w:ind w:left="1440" w:hanging="360"/>
      </w:pPr>
      <w:rPr>
        <w:rFonts w:ascii="Courier New" w:hAnsi="Courier New" w:cs="Courier New" w:hint="default"/>
      </w:rPr>
    </w:lvl>
    <w:lvl w:ilvl="2" w:tplc="4F0270A6">
      <w:start w:val="1"/>
      <w:numFmt w:val="decimal"/>
      <w:lvlText w:val="%3."/>
      <w:lvlJc w:val="left"/>
      <w:pPr>
        <w:ind w:left="2160" w:hanging="360"/>
      </w:pPr>
      <w:rPr>
        <w:rFonts w:hint="default"/>
        <w:color w:val="000000" w:themeColor="text1"/>
      </w:rPr>
    </w:lvl>
    <w:lvl w:ilvl="3" w:tplc="5F640CF0">
      <w:start w:val="1"/>
      <w:numFmt w:val="bullet"/>
      <w:lvlText w:val=""/>
      <w:lvlJc w:val="left"/>
      <w:pPr>
        <w:ind w:left="2880" w:hanging="360"/>
      </w:pPr>
      <w:rPr>
        <w:rFonts w:ascii="Symbol" w:hAnsi="Symbol" w:hint="default"/>
        <w:color w:val="000000" w:themeColor="text1"/>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3240F"/>
    <w:multiLevelType w:val="hybridMultilevel"/>
    <w:tmpl w:val="E9DEA79C"/>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344C50"/>
    <w:multiLevelType w:val="hybridMultilevel"/>
    <w:tmpl w:val="A2FC1B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1595CEC"/>
    <w:multiLevelType w:val="hybridMultilevel"/>
    <w:tmpl w:val="CF523378"/>
    <w:lvl w:ilvl="0" w:tplc="04090017">
      <w:start w:val="1"/>
      <w:numFmt w:val="lowerLetter"/>
      <w:lvlText w:val="%1)"/>
      <w:lvlJc w:val="left"/>
      <w:pPr>
        <w:ind w:left="212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4" w15:restartNumberingAfterBreak="0">
    <w:nsid w:val="0867036A"/>
    <w:multiLevelType w:val="hybridMultilevel"/>
    <w:tmpl w:val="90D48F40"/>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A87C7B"/>
    <w:multiLevelType w:val="hybridMultilevel"/>
    <w:tmpl w:val="BC3259F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CAC4FEB"/>
    <w:multiLevelType w:val="hybridMultilevel"/>
    <w:tmpl w:val="759089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8E3516"/>
    <w:multiLevelType w:val="hybridMultilevel"/>
    <w:tmpl w:val="9D902A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DC030DD"/>
    <w:multiLevelType w:val="hybridMultilevel"/>
    <w:tmpl w:val="84EE25A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0077DA"/>
    <w:multiLevelType w:val="hybridMultilevel"/>
    <w:tmpl w:val="280830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12FA7"/>
    <w:multiLevelType w:val="hybridMultilevel"/>
    <w:tmpl w:val="CBC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F0E9D"/>
    <w:multiLevelType w:val="hybridMultilevel"/>
    <w:tmpl w:val="B7AA8E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9E35DB3"/>
    <w:multiLevelType w:val="hybridMultilevel"/>
    <w:tmpl w:val="F17A87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3390229"/>
    <w:multiLevelType w:val="hybridMultilevel"/>
    <w:tmpl w:val="21367F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B940698"/>
    <w:multiLevelType w:val="hybridMultilevel"/>
    <w:tmpl w:val="030C4E2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943325"/>
    <w:multiLevelType w:val="hybridMultilevel"/>
    <w:tmpl w:val="0C5A1912"/>
    <w:lvl w:ilvl="0" w:tplc="60F2B6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6E5E96"/>
    <w:multiLevelType w:val="hybridMultilevel"/>
    <w:tmpl w:val="A3A699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00200C8"/>
    <w:multiLevelType w:val="hybridMultilevel"/>
    <w:tmpl w:val="0186BA58"/>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2826ED8"/>
    <w:multiLevelType w:val="hybridMultilevel"/>
    <w:tmpl w:val="2C38B9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32671EF"/>
    <w:multiLevelType w:val="hybridMultilevel"/>
    <w:tmpl w:val="49E40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548444B"/>
    <w:multiLevelType w:val="hybridMultilevel"/>
    <w:tmpl w:val="25C2F25E"/>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7CD650F"/>
    <w:multiLevelType w:val="hybridMultilevel"/>
    <w:tmpl w:val="C71028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F461E7"/>
    <w:multiLevelType w:val="hybridMultilevel"/>
    <w:tmpl w:val="6D7455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8129F9"/>
    <w:multiLevelType w:val="hybridMultilevel"/>
    <w:tmpl w:val="D3E48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2173043"/>
    <w:multiLevelType w:val="hybridMultilevel"/>
    <w:tmpl w:val="A8D6C8A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D310EB"/>
    <w:multiLevelType w:val="hybridMultilevel"/>
    <w:tmpl w:val="93E64D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5807F36"/>
    <w:multiLevelType w:val="hybridMultilevel"/>
    <w:tmpl w:val="2B0E0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5A6358E"/>
    <w:multiLevelType w:val="hybridMultilevel"/>
    <w:tmpl w:val="A3A699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F8571E1"/>
    <w:multiLevelType w:val="hybridMultilevel"/>
    <w:tmpl w:val="3548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A1EB5"/>
    <w:multiLevelType w:val="hybridMultilevel"/>
    <w:tmpl w:val="93CA43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0DF3351"/>
    <w:multiLevelType w:val="hybridMultilevel"/>
    <w:tmpl w:val="1EF29456"/>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B9F3BD2"/>
    <w:multiLevelType w:val="hybridMultilevel"/>
    <w:tmpl w:val="D8AA93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A5587F"/>
    <w:multiLevelType w:val="hybridMultilevel"/>
    <w:tmpl w:val="A78E858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5FFD441D"/>
    <w:multiLevelType w:val="hybridMultilevel"/>
    <w:tmpl w:val="A1C8FA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076551E"/>
    <w:multiLevelType w:val="hybridMultilevel"/>
    <w:tmpl w:val="030C4E2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10950AA"/>
    <w:multiLevelType w:val="hybridMultilevel"/>
    <w:tmpl w:val="A566DC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661B572A"/>
    <w:multiLevelType w:val="hybridMultilevel"/>
    <w:tmpl w:val="78F832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63D0E3A"/>
    <w:multiLevelType w:val="hybridMultilevel"/>
    <w:tmpl w:val="C0A4CE00"/>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69813E7"/>
    <w:multiLevelType w:val="hybridMultilevel"/>
    <w:tmpl w:val="9B4EAD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AC7031"/>
    <w:multiLevelType w:val="hybridMultilevel"/>
    <w:tmpl w:val="9650E9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0E70F14"/>
    <w:multiLevelType w:val="hybridMultilevel"/>
    <w:tmpl w:val="9650E9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695821"/>
    <w:multiLevelType w:val="hybridMultilevel"/>
    <w:tmpl w:val="638A08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725125D"/>
    <w:multiLevelType w:val="hybridMultilevel"/>
    <w:tmpl w:val="A2FC1B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94345BD"/>
    <w:multiLevelType w:val="hybridMultilevel"/>
    <w:tmpl w:val="66A8BF98"/>
    <w:lvl w:ilvl="0" w:tplc="60F2B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113D72"/>
    <w:multiLevelType w:val="hybridMultilevel"/>
    <w:tmpl w:val="E8DAAE1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646879"/>
    <w:multiLevelType w:val="hybridMultilevel"/>
    <w:tmpl w:val="6B983896"/>
    <w:lvl w:ilvl="0" w:tplc="62FE453C">
      <w:start w:val="3"/>
      <w:numFmt w:val="decimal"/>
      <w:lvlText w:val="%1."/>
      <w:lvlJc w:val="left"/>
      <w:pPr>
        <w:ind w:left="180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EE13C0"/>
    <w:multiLevelType w:val="hybridMultilevel"/>
    <w:tmpl w:val="B9C689D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0"/>
  </w:num>
  <w:num w:numId="2">
    <w:abstractNumId w:val="29"/>
  </w:num>
  <w:num w:numId="3">
    <w:abstractNumId w:val="0"/>
  </w:num>
  <w:num w:numId="4">
    <w:abstractNumId w:val="39"/>
  </w:num>
  <w:num w:numId="5">
    <w:abstractNumId w:val="3"/>
  </w:num>
  <w:num w:numId="6">
    <w:abstractNumId w:val="46"/>
  </w:num>
  <w:num w:numId="7">
    <w:abstractNumId w:val="22"/>
  </w:num>
  <w:num w:numId="8">
    <w:abstractNumId w:val="25"/>
  </w:num>
  <w:num w:numId="9">
    <w:abstractNumId w:val="16"/>
  </w:num>
  <w:num w:numId="10">
    <w:abstractNumId w:val="30"/>
  </w:num>
  <w:num w:numId="11">
    <w:abstractNumId w:val="7"/>
  </w:num>
  <w:num w:numId="12">
    <w:abstractNumId w:val="31"/>
  </w:num>
  <w:num w:numId="13">
    <w:abstractNumId w:val="15"/>
  </w:num>
  <w:num w:numId="14">
    <w:abstractNumId w:val="47"/>
  </w:num>
  <w:num w:numId="15">
    <w:abstractNumId w:val="33"/>
  </w:num>
  <w:num w:numId="16">
    <w:abstractNumId w:val="35"/>
  </w:num>
  <w:num w:numId="17">
    <w:abstractNumId w:val="45"/>
  </w:num>
  <w:num w:numId="18">
    <w:abstractNumId w:val="34"/>
  </w:num>
  <w:num w:numId="19">
    <w:abstractNumId w:val="18"/>
  </w:num>
  <w:num w:numId="20">
    <w:abstractNumId w:val="8"/>
  </w:num>
  <w:num w:numId="21">
    <w:abstractNumId w:val="32"/>
  </w:num>
  <w:num w:numId="22">
    <w:abstractNumId w:val="4"/>
  </w:num>
  <w:num w:numId="23">
    <w:abstractNumId w:val="6"/>
  </w:num>
  <w:num w:numId="24">
    <w:abstractNumId w:val="23"/>
  </w:num>
  <w:num w:numId="25">
    <w:abstractNumId w:val="40"/>
  </w:num>
  <w:num w:numId="26">
    <w:abstractNumId w:val="44"/>
  </w:num>
  <w:num w:numId="27">
    <w:abstractNumId w:val="41"/>
  </w:num>
  <w:num w:numId="28">
    <w:abstractNumId w:val="42"/>
  </w:num>
  <w:num w:numId="29">
    <w:abstractNumId w:val="12"/>
  </w:num>
  <w:num w:numId="30">
    <w:abstractNumId w:val="24"/>
  </w:num>
  <w:num w:numId="31">
    <w:abstractNumId w:val="19"/>
  </w:num>
  <w:num w:numId="32">
    <w:abstractNumId w:val="36"/>
  </w:num>
  <w:num w:numId="33">
    <w:abstractNumId w:val="26"/>
  </w:num>
  <w:num w:numId="34">
    <w:abstractNumId w:val="21"/>
  </w:num>
  <w:num w:numId="35">
    <w:abstractNumId w:val="9"/>
  </w:num>
  <w:num w:numId="36">
    <w:abstractNumId w:val="37"/>
  </w:num>
  <w:num w:numId="37">
    <w:abstractNumId w:val="17"/>
  </w:num>
  <w:num w:numId="38">
    <w:abstractNumId w:val="38"/>
  </w:num>
  <w:num w:numId="39">
    <w:abstractNumId w:val="28"/>
  </w:num>
  <w:num w:numId="40">
    <w:abstractNumId w:val="13"/>
  </w:num>
  <w:num w:numId="41">
    <w:abstractNumId w:val="14"/>
  </w:num>
  <w:num w:numId="42">
    <w:abstractNumId w:val="27"/>
  </w:num>
  <w:num w:numId="43">
    <w:abstractNumId w:val="1"/>
  </w:num>
  <w:num w:numId="44">
    <w:abstractNumId w:val="2"/>
  </w:num>
  <w:num w:numId="45">
    <w:abstractNumId w:val="20"/>
  </w:num>
  <w:num w:numId="46">
    <w:abstractNumId w:val="43"/>
  </w:num>
  <w:num w:numId="47">
    <w:abstractNumId w:val="5"/>
  </w:num>
  <w:num w:numId="4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61FD"/>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2C86"/>
    <w:rsid w:val="00156CDF"/>
    <w:rsid w:val="0016751A"/>
    <w:rsid w:val="00192677"/>
    <w:rsid w:val="001A599E"/>
    <w:rsid w:val="001B2F76"/>
    <w:rsid w:val="001B49BC"/>
    <w:rsid w:val="001C6069"/>
    <w:rsid w:val="001D18B8"/>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1DB8"/>
    <w:rsid w:val="00302D74"/>
    <w:rsid w:val="003073A2"/>
    <w:rsid w:val="00322DCF"/>
    <w:rsid w:val="003605BF"/>
    <w:rsid w:val="00360C84"/>
    <w:rsid w:val="00364D1C"/>
    <w:rsid w:val="003665FA"/>
    <w:rsid w:val="00392521"/>
    <w:rsid w:val="00392787"/>
    <w:rsid w:val="00394878"/>
    <w:rsid w:val="00394B5A"/>
    <w:rsid w:val="003A2D94"/>
    <w:rsid w:val="003A5AF5"/>
    <w:rsid w:val="003C1D31"/>
    <w:rsid w:val="003C1DA3"/>
    <w:rsid w:val="003D3528"/>
    <w:rsid w:val="003D5621"/>
    <w:rsid w:val="003E1152"/>
    <w:rsid w:val="003E1A93"/>
    <w:rsid w:val="003E689E"/>
    <w:rsid w:val="003F2FBC"/>
    <w:rsid w:val="0040274D"/>
    <w:rsid w:val="00404593"/>
    <w:rsid w:val="00410D65"/>
    <w:rsid w:val="00417B82"/>
    <w:rsid w:val="00422061"/>
    <w:rsid w:val="00435AA8"/>
    <w:rsid w:val="0045160A"/>
    <w:rsid w:val="00452856"/>
    <w:rsid w:val="00461195"/>
    <w:rsid w:val="00463CC9"/>
    <w:rsid w:val="00481B0E"/>
    <w:rsid w:val="00490634"/>
    <w:rsid w:val="00496C0F"/>
    <w:rsid w:val="004C57ED"/>
    <w:rsid w:val="004C5C79"/>
    <w:rsid w:val="004C6DEB"/>
    <w:rsid w:val="004D64F6"/>
    <w:rsid w:val="004E1321"/>
    <w:rsid w:val="004F05F4"/>
    <w:rsid w:val="0050244B"/>
    <w:rsid w:val="005046FC"/>
    <w:rsid w:val="0050552F"/>
    <w:rsid w:val="00511C4E"/>
    <w:rsid w:val="00531C58"/>
    <w:rsid w:val="00545EC8"/>
    <w:rsid w:val="00546A5D"/>
    <w:rsid w:val="00564B6C"/>
    <w:rsid w:val="00575F93"/>
    <w:rsid w:val="0058193B"/>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014A"/>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11F7"/>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504"/>
    <w:rsid w:val="008A04F2"/>
    <w:rsid w:val="008A0DE3"/>
    <w:rsid w:val="008A0E4B"/>
    <w:rsid w:val="008A1ECC"/>
    <w:rsid w:val="008B207C"/>
    <w:rsid w:val="008B4BA0"/>
    <w:rsid w:val="008C3978"/>
    <w:rsid w:val="008D6A6F"/>
    <w:rsid w:val="008D771B"/>
    <w:rsid w:val="008E0AB9"/>
    <w:rsid w:val="008E1F1E"/>
    <w:rsid w:val="00900BB7"/>
    <w:rsid w:val="009078BD"/>
    <w:rsid w:val="00914001"/>
    <w:rsid w:val="0092541A"/>
    <w:rsid w:val="00930B74"/>
    <w:rsid w:val="00933992"/>
    <w:rsid w:val="00947122"/>
    <w:rsid w:val="009476D7"/>
    <w:rsid w:val="0095450C"/>
    <w:rsid w:val="00955F58"/>
    <w:rsid w:val="009601D8"/>
    <w:rsid w:val="00960C36"/>
    <w:rsid w:val="00970224"/>
    <w:rsid w:val="0098573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009E"/>
    <w:rsid w:val="00A86492"/>
    <w:rsid w:val="00A97251"/>
    <w:rsid w:val="00AD3125"/>
    <w:rsid w:val="00AE5509"/>
    <w:rsid w:val="00AF25FF"/>
    <w:rsid w:val="00B02D69"/>
    <w:rsid w:val="00B208A7"/>
    <w:rsid w:val="00B20E9B"/>
    <w:rsid w:val="00B318DE"/>
    <w:rsid w:val="00B3350C"/>
    <w:rsid w:val="00B3672C"/>
    <w:rsid w:val="00B64CBF"/>
    <w:rsid w:val="00B6799D"/>
    <w:rsid w:val="00B71332"/>
    <w:rsid w:val="00B73806"/>
    <w:rsid w:val="00BA11ED"/>
    <w:rsid w:val="00BA7FAF"/>
    <w:rsid w:val="00BB04CD"/>
    <w:rsid w:val="00BB45D6"/>
    <w:rsid w:val="00BB771A"/>
    <w:rsid w:val="00BB7EFF"/>
    <w:rsid w:val="00BD2881"/>
    <w:rsid w:val="00BE63BB"/>
    <w:rsid w:val="00BF6A52"/>
    <w:rsid w:val="00BF7C7F"/>
    <w:rsid w:val="00C108BF"/>
    <w:rsid w:val="00C22016"/>
    <w:rsid w:val="00C243B9"/>
    <w:rsid w:val="00C409A5"/>
    <w:rsid w:val="00C564CC"/>
    <w:rsid w:val="00C614E5"/>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03CA"/>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58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0E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umkc.edu/faculty/projects/ftrials/Simpson/simpson.htm" TargetMode="External"/><Relationship Id="rId18" Type="http://schemas.openxmlformats.org/officeDocument/2006/relationships/hyperlink" Target="http://phobos.ramapo.edu/~jweiss/laws131/unit3/simpson.ht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nnocenceproject.org/understand/Eyewitness-Misidentification.php" TargetMode="External"/><Relationship Id="rId17" Type="http://schemas.openxmlformats.org/officeDocument/2006/relationships/hyperlink" Target="http://en.wikipedia.org/wiki/DNA_profil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aw.umkc.edu/faculty/projects/ftrials/Simpson/leetest.html" TargetMode="External"/><Relationship Id="rId20" Type="http://schemas.openxmlformats.org/officeDocument/2006/relationships/hyperlink" Target="http://www.crimemuseum.org/oj_acquittal_trial_su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aw.umkc.edu/faculty/projects/ftrials/Simpson/Bodziak.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bs.org/wgbh/pages/frontline/oj/themes/prosecu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O._J._Simpso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036A370C-0C0B-4CBF-94CE-FF601935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6</cp:revision>
  <cp:lastPrinted>2017-06-09T13:57:00Z</cp:lastPrinted>
  <dcterms:created xsi:type="dcterms:W3CDTF">2018-01-22T14:49:00Z</dcterms:created>
  <dcterms:modified xsi:type="dcterms:W3CDTF">2018-01-22T15:14:00Z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