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B830" w14:textId="7D9D505F" w:rsidR="000F2568" w:rsidRPr="00072BC7" w:rsidRDefault="00880385">
      <w:pPr>
        <w:pStyle w:val="Title"/>
        <w:rPr>
          <w:rFonts w:cs="Open Sans"/>
          <w:szCs w:val="36"/>
        </w:rPr>
      </w:pPr>
      <w:r w:rsidRPr="00072BC7">
        <w:rPr>
          <w:rFonts w:cs="Open Sans"/>
          <w:szCs w:val="36"/>
        </w:rPr>
        <w:t xml:space="preserve">Unit </w:t>
      </w:r>
      <w:r w:rsidR="002E1B17">
        <w:rPr>
          <w:rFonts w:cs="Open Sans"/>
          <w:szCs w:val="36"/>
        </w:rPr>
        <w:t>4</w:t>
      </w:r>
      <w:r w:rsidR="00B14219">
        <w:rPr>
          <w:rFonts w:cs="Open Sans"/>
          <w:szCs w:val="36"/>
        </w:rPr>
        <w:t>: Developing Effective Instruction</w:t>
      </w:r>
    </w:p>
    <w:p w14:paraId="5CC8B78C" w14:textId="77777777" w:rsidR="008B0312" w:rsidRPr="00626144" w:rsidRDefault="008B0312" w:rsidP="00626144">
      <w:pPr>
        <w:pStyle w:val="Heading1"/>
      </w:pPr>
      <w:r w:rsidRPr="00626144">
        <w:t>Introduction</w:t>
      </w:r>
    </w:p>
    <w:p w14:paraId="1B365CD0" w14:textId="1C3BDF99" w:rsidR="008B0312" w:rsidRPr="008B0312" w:rsidRDefault="008B0312" w:rsidP="008B0312">
      <w:pPr>
        <w:rPr>
          <w:rFonts w:ascii="Calibri" w:hAnsi="Calibri" w:cs="Calibri"/>
          <w:color w:val="auto"/>
          <w:sz w:val="24"/>
          <w:szCs w:val="24"/>
        </w:rPr>
      </w:pPr>
      <w:r w:rsidRPr="008B0312">
        <w:rPr>
          <w:rFonts w:ascii="Calibri" w:hAnsi="Calibri" w:cs="Calibri"/>
          <w:color w:val="auto"/>
          <w:sz w:val="24"/>
          <w:szCs w:val="24"/>
        </w:rPr>
        <w:t xml:space="preserve">This document provides teachers with a </w:t>
      </w:r>
      <w:r>
        <w:rPr>
          <w:rFonts w:ascii="Calibri" w:hAnsi="Calibri" w:cs="Calibri"/>
          <w:color w:val="auto"/>
          <w:sz w:val="24"/>
          <w:szCs w:val="24"/>
        </w:rPr>
        <w:t>unit planning template</w:t>
      </w:r>
      <w:r w:rsidRPr="008B0312">
        <w:rPr>
          <w:rFonts w:ascii="Calibri" w:hAnsi="Calibri" w:cs="Calibri"/>
          <w:color w:val="auto"/>
          <w:sz w:val="24"/>
          <w:szCs w:val="24"/>
        </w:rPr>
        <w:t>.</w:t>
      </w:r>
    </w:p>
    <w:p w14:paraId="0F936112" w14:textId="77777777" w:rsidR="008B0312" w:rsidRPr="008B0312" w:rsidRDefault="008B0312" w:rsidP="00626144">
      <w:pPr>
        <w:pStyle w:val="Heading1"/>
      </w:pPr>
      <w:r w:rsidRPr="008B0312">
        <w:t>Course and Unit Information</w:t>
      </w:r>
    </w:p>
    <w:p w14:paraId="23FFAA49" w14:textId="68B628F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 xml:space="preserve">This section provides information about the course, </w:t>
      </w:r>
      <w:r>
        <w:rPr>
          <w:rFonts w:ascii="Calibri" w:hAnsi="Calibri" w:cs="Calibri"/>
          <w:color w:val="auto"/>
          <w:sz w:val="24"/>
        </w:rPr>
        <w:t>grade level</w:t>
      </w:r>
      <w:r w:rsidRPr="008B0312">
        <w:rPr>
          <w:rFonts w:ascii="Calibri" w:hAnsi="Calibri" w:cs="Calibri"/>
          <w:color w:val="auto"/>
          <w:sz w:val="24"/>
        </w:rPr>
        <w:t>, and timeframe of instruction.</w:t>
      </w:r>
    </w:p>
    <w:p w14:paraId="22347595" w14:textId="28CFEA2E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8B0312">
        <w:rPr>
          <w:rStyle w:val="Heading2Char"/>
        </w:rPr>
        <w:t>Course Name</w:t>
      </w:r>
      <w:r w:rsidRPr="000255EB">
        <w:rPr>
          <w:rFonts w:eastAsiaTheme="majorEastAsia" w:cs="Calibri"/>
          <w:bCs/>
          <w:szCs w:val="24"/>
        </w:rPr>
        <w:t xml:space="preserve">: </w:t>
      </w:r>
      <w:r w:rsidR="004E2347" w:rsidRPr="00152891">
        <w:t>Practicum in Education and Training</w:t>
      </w:r>
    </w:p>
    <w:p w14:paraId="518F9E68" w14:textId="1147A4D5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Grade Level</w:t>
      </w:r>
      <w:r w:rsidR="00017EC5">
        <w:rPr>
          <w:rStyle w:val="Heading2Char"/>
          <w:rFonts w:cs="Calibri"/>
          <w:szCs w:val="24"/>
        </w:rPr>
        <w:t>(s)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E2347" w:rsidRPr="00152891">
        <w:rPr>
          <w:color w:val="auto"/>
        </w:rPr>
        <w:t>11-12</w:t>
      </w:r>
    </w:p>
    <w:p w14:paraId="0DBCEE5A" w14:textId="172155EF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TimeFrame (# of Minutes/Periods)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E2347">
        <w:t xml:space="preserve">450 </w:t>
      </w:r>
      <w:r w:rsidR="004E2347" w:rsidRPr="00152891">
        <w:t>Minutes</w:t>
      </w:r>
      <w:r w:rsidR="004E2347">
        <w:t>/</w:t>
      </w:r>
      <w:bookmarkStart w:id="0" w:name="_GoBack"/>
      <w:bookmarkEnd w:id="0"/>
      <w:r w:rsidR="004E2347">
        <w:t>Five 90</w:t>
      </w:r>
      <w:r w:rsidR="004E2347" w:rsidRPr="00152891">
        <w:t>-Minute Periods</w:t>
      </w:r>
    </w:p>
    <w:p w14:paraId="4BBDE9C2" w14:textId="4066A127" w:rsidR="008B0312" w:rsidRDefault="008B0312" w:rsidP="001A2D85">
      <w:pPr>
        <w:pStyle w:val="Heading1"/>
      </w:pPr>
      <w:r>
        <w:t>Unit Overview</w:t>
      </w:r>
    </w:p>
    <w:p w14:paraId="5DA11816" w14:textId="77777777" w:rsidR="00B14219" w:rsidRDefault="00B14219" w:rsidP="00B14219">
      <w:pPr>
        <w:rPr>
          <w:rFonts w:cs="Open Sans"/>
        </w:rPr>
      </w:pPr>
      <w:r w:rsidRPr="00423CE0">
        <w:rPr>
          <w:rFonts w:cs="Open Sans"/>
        </w:rPr>
        <w:t xml:space="preserve">Students will </w:t>
      </w:r>
      <w:r>
        <w:rPr>
          <w:rFonts w:cs="Open Sans"/>
        </w:rPr>
        <w:t>incorporate</w:t>
      </w:r>
      <w:r w:rsidRPr="00423CE0">
        <w:rPr>
          <w:rFonts w:cs="Open Sans"/>
        </w:rPr>
        <w:t xml:space="preserve"> research-based and evidenced-based </w:t>
      </w:r>
      <w:r>
        <w:rPr>
          <w:rFonts w:cs="Open Sans"/>
        </w:rPr>
        <w:t xml:space="preserve">theories and </w:t>
      </w:r>
      <w:r w:rsidRPr="00423CE0">
        <w:rPr>
          <w:rFonts w:cs="Open Sans"/>
        </w:rPr>
        <w:t xml:space="preserve">strategies to create </w:t>
      </w:r>
      <w:r>
        <w:rPr>
          <w:rFonts w:cs="Open Sans"/>
        </w:rPr>
        <w:t xml:space="preserve">effective unit and </w:t>
      </w:r>
      <w:r w:rsidRPr="00423CE0">
        <w:rPr>
          <w:rFonts w:cs="Open Sans"/>
        </w:rPr>
        <w:t>lesson plans that</w:t>
      </w:r>
      <w:r>
        <w:rPr>
          <w:rFonts w:cs="Open Sans"/>
        </w:rPr>
        <w:t xml:space="preserve"> both</w:t>
      </w:r>
      <w:r w:rsidRPr="00423CE0">
        <w:rPr>
          <w:rFonts w:cs="Open Sans"/>
        </w:rPr>
        <w:t xml:space="preserve"> </w:t>
      </w:r>
      <w:r>
        <w:rPr>
          <w:rFonts w:cs="Open Sans"/>
        </w:rPr>
        <w:t xml:space="preserve">align with TEKS and that </w:t>
      </w:r>
      <w:r w:rsidRPr="00423CE0">
        <w:rPr>
          <w:rFonts w:cs="Open Sans"/>
        </w:rPr>
        <w:t>include accommodations for students with learning differences.</w:t>
      </w:r>
    </w:p>
    <w:p w14:paraId="0825E388" w14:textId="77777777" w:rsidR="00B14219" w:rsidRDefault="00B14219" w:rsidP="00B14219">
      <w:pPr>
        <w:rPr>
          <w:rFonts w:cs="Open Sans"/>
        </w:rPr>
      </w:pPr>
    </w:p>
    <w:p w14:paraId="30967C39" w14:textId="77777777" w:rsidR="00B14219" w:rsidRDefault="00B14219" w:rsidP="00B14219">
      <w:pPr>
        <w:rPr>
          <w:rFonts w:cs="Open Sans"/>
        </w:rPr>
      </w:pPr>
      <w:r>
        <w:rPr>
          <w:rFonts w:cs="Open Sans"/>
        </w:rPr>
        <w:t xml:space="preserve">Students will peer-review student-created lesson plans for TEKS alignment, possibilities for student engagement in active, meaningful learning, </w:t>
      </w:r>
      <w:r w:rsidRPr="00423CE0">
        <w:rPr>
          <w:rFonts w:cs="Open Sans"/>
        </w:rPr>
        <w:t>accommodations for students with learning differences</w:t>
      </w:r>
      <w:r>
        <w:rPr>
          <w:rFonts w:cs="Open Sans"/>
        </w:rPr>
        <w:t>, and developmentally appropriate formative and summative assessment</w:t>
      </w:r>
      <w:r w:rsidRPr="00423CE0">
        <w:rPr>
          <w:rFonts w:cs="Open Sans"/>
        </w:rPr>
        <w:t>.</w:t>
      </w:r>
    </w:p>
    <w:p w14:paraId="182869CE" w14:textId="77777777" w:rsidR="00B14219" w:rsidRDefault="00B14219" w:rsidP="00B14219">
      <w:pPr>
        <w:rPr>
          <w:rFonts w:cs="Open Sans"/>
        </w:rPr>
      </w:pPr>
    </w:p>
    <w:p w14:paraId="616FC82B" w14:textId="2E3A645D" w:rsidR="00B14219" w:rsidRDefault="00B14219" w:rsidP="00B14219">
      <w:pPr>
        <w:spacing w:after="0"/>
        <w:rPr>
          <w:rFonts w:cs="Open Sans"/>
        </w:rPr>
      </w:pPr>
      <w:r>
        <w:rPr>
          <w:rFonts w:eastAsia="Times New Roman" w:cs="Open Sans"/>
          <w:color w:val="000000"/>
        </w:rPr>
        <w:t>In presentations of their lesson plans, s</w:t>
      </w:r>
      <w:r w:rsidRPr="00423CE0">
        <w:rPr>
          <w:rFonts w:cs="Open Sans"/>
        </w:rPr>
        <w:t xml:space="preserve">tudents will demonstrate </w:t>
      </w:r>
      <w:r>
        <w:rPr>
          <w:rFonts w:cs="Open Sans"/>
        </w:rPr>
        <w:t xml:space="preserve">and integrate </w:t>
      </w:r>
      <w:r w:rsidRPr="00423CE0">
        <w:rPr>
          <w:rFonts w:cs="Open Sans"/>
        </w:rPr>
        <w:t>effective use and application of</w:t>
      </w:r>
      <w:r>
        <w:rPr>
          <w:rFonts w:cs="Open Sans"/>
        </w:rPr>
        <w:t xml:space="preserve"> current and/or</w:t>
      </w:r>
      <w:r w:rsidRPr="00423CE0">
        <w:rPr>
          <w:rFonts w:cs="Open Sans"/>
        </w:rPr>
        <w:t xml:space="preserve"> emerging technologies in education and training.</w:t>
      </w:r>
    </w:p>
    <w:p w14:paraId="24109BC2" w14:textId="533ECB4D" w:rsidR="008B0312" w:rsidRPr="008B0312" w:rsidRDefault="001A2D85" w:rsidP="001A2D85">
      <w:pPr>
        <w:pStyle w:val="Heading1"/>
      </w:pPr>
      <w:r>
        <w:t>Unit</w:t>
      </w:r>
      <w:r w:rsidR="008B0312" w:rsidRPr="008B0312">
        <w:t xml:space="preserve"> PLan</w:t>
      </w:r>
    </w:p>
    <w:p w14:paraId="2C3429A2" w14:textId="4B001C6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>Th</w:t>
      </w:r>
      <w:r w:rsidR="001A00F3">
        <w:rPr>
          <w:rFonts w:ascii="Calibri" w:hAnsi="Calibri" w:cs="Calibri"/>
          <w:color w:val="auto"/>
          <w:sz w:val="24"/>
        </w:rPr>
        <w:t xml:space="preserve">e </w:t>
      </w:r>
      <w:r w:rsidR="00101DFF">
        <w:rPr>
          <w:rFonts w:ascii="Calibri" w:hAnsi="Calibri" w:cs="Calibri"/>
          <w:color w:val="auto"/>
          <w:sz w:val="24"/>
        </w:rPr>
        <w:t xml:space="preserve">two-column table </w:t>
      </w:r>
      <w:r w:rsidR="001A00F3">
        <w:rPr>
          <w:rFonts w:ascii="Calibri" w:hAnsi="Calibri" w:cs="Calibri"/>
          <w:color w:val="auto"/>
          <w:sz w:val="24"/>
        </w:rPr>
        <w:t xml:space="preserve">in this section </w:t>
      </w:r>
      <w:r w:rsidRPr="008B0312">
        <w:rPr>
          <w:rFonts w:ascii="Calibri" w:hAnsi="Calibri" w:cs="Calibri"/>
          <w:color w:val="auto"/>
          <w:sz w:val="24"/>
        </w:rPr>
        <w:t xml:space="preserve">contains </w:t>
      </w:r>
      <w:r w:rsidR="001A2D85">
        <w:rPr>
          <w:rFonts w:ascii="Calibri" w:hAnsi="Calibri" w:cs="Calibri"/>
          <w:color w:val="auto"/>
          <w:sz w:val="24"/>
        </w:rPr>
        <w:t xml:space="preserve">unit planning </w:t>
      </w:r>
      <w:r w:rsidR="00017EC5">
        <w:rPr>
          <w:rFonts w:ascii="Calibri" w:hAnsi="Calibri" w:cs="Calibri"/>
          <w:color w:val="auto"/>
          <w:sz w:val="24"/>
        </w:rPr>
        <w:t>elements</w:t>
      </w:r>
      <w:r w:rsidR="00101DFF">
        <w:rPr>
          <w:rFonts w:ascii="Calibri" w:hAnsi="Calibri" w:cs="Calibri"/>
          <w:color w:val="auto"/>
          <w:sz w:val="24"/>
        </w:rPr>
        <w:t xml:space="preserve"> in the first column, and </w:t>
      </w:r>
      <w:r w:rsidR="00017EC5">
        <w:rPr>
          <w:rFonts w:ascii="Calibri" w:hAnsi="Calibri" w:cs="Calibri"/>
          <w:color w:val="auto"/>
          <w:sz w:val="24"/>
        </w:rPr>
        <w:t>details about the element</w:t>
      </w:r>
      <w:r w:rsidR="00101DFF">
        <w:rPr>
          <w:rFonts w:ascii="Calibri" w:hAnsi="Calibri" w:cs="Calibri"/>
          <w:color w:val="auto"/>
          <w:sz w:val="24"/>
        </w:rPr>
        <w:t xml:space="preserve"> in the second column.</w:t>
      </w:r>
    </w:p>
    <w:p w14:paraId="682E029E" w14:textId="6B45C178" w:rsidR="008B0312" w:rsidRPr="008B0312" w:rsidRDefault="007752D0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TEKS (CTE)</w:t>
      </w:r>
      <w:r w:rsidR="008B0312" w:rsidRPr="008B0312">
        <w:t xml:space="preserve">: </w:t>
      </w:r>
      <w:r w:rsidR="001E3981">
        <w:t>List the TEKS identification numbers and descriptions for CTE.</w:t>
      </w:r>
    </w:p>
    <w:p w14:paraId="48274E46" w14:textId="46AB03C8" w:rsidR="008B0312" w:rsidRPr="008B0312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UNIT QUESTION</w:t>
      </w:r>
      <w:r w:rsidR="008B0312" w:rsidRPr="008B0312">
        <w:t>:</w:t>
      </w:r>
      <w:r w:rsidR="001E3981">
        <w:t xml:space="preserve"> List the primary question the unit of instruction will answer.</w:t>
      </w:r>
    </w:p>
    <w:p w14:paraId="6FA09A27" w14:textId="6D3D36EA" w:rsidR="00851AFC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ESSENTIAL CONTENT QUESTIONS</w:t>
      </w:r>
      <w:r w:rsidR="008B0312" w:rsidRPr="008B0312">
        <w:t>:</w:t>
      </w:r>
      <w:r w:rsidR="001E3981">
        <w:t xml:space="preserve"> List the essential content questions.</w:t>
      </w:r>
    </w:p>
    <w:p w14:paraId="6474D727" w14:textId="16806E6D" w:rsidR="008B0312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UNIT LEARNING OBJECTIVES (WHAT STUDENT WILL KNOW AND BE ABLE TO DO)</w:t>
      </w:r>
      <w:r w:rsidR="008B0312" w:rsidRPr="004F751F">
        <w:t>:</w:t>
      </w:r>
      <w:r w:rsidR="001E3981">
        <w:t xml:space="preserve"> List all </w:t>
      </w:r>
      <w:r w:rsidR="00017EC5">
        <w:t xml:space="preserve">actions and knowledge </w:t>
      </w:r>
      <w:r w:rsidR="007A5011">
        <w:t xml:space="preserve">a </w:t>
      </w:r>
      <w:r w:rsidR="001E3981">
        <w:t xml:space="preserve">student </w:t>
      </w:r>
      <w:r w:rsidR="00017EC5">
        <w:t xml:space="preserve">will be able to demonstrate. </w:t>
      </w:r>
    </w:p>
    <w:p w14:paraId="364B6D24" w14:textId="5DC41748" w:rsidR="004F751F" w:rsidRDefault="00B406F4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ASSESSMENTS (PERFORMANCE TASKS)</w:t>
      </w:r>
      <w:r>
        <w:t xml:space="preserve">: </w:t>
      </w:r>
      <w:r w:rsidR="001E3981">
        <w:t>List the performance tasks</w:t>
      </w:r>
      <w:r w:rsidR="00A43099">
        <w:t xml:space="preserve"> that demonstrate mastery of the objectives</w:t>
      </w:r>
      <w:r w:rsidR="001E3981">
        <w:t>.</w:t>
      </w:r>
    </w:p>
    <w:p w14:paraId="592F470E" w14:textId="3F391804" w:rsidR="00D924CC" w:rsidRDefault="00FC3394" w:rsidP="00EA0CB7">
      <w:pPr>
        <w:pStyle w:val="ListParagraph"/>
        <w:numPr>
          <w:ilvl w:val="0"/>
          <w:numId w:val="15"/>
        </w:numPr>
      </w:pPr>
      <w:r w:rsidRPr="00FC3394">
        <w:rPr>
          <w:rStyle w:val="Heading2Char"/>
        </w:rPr>
        <w:t>EVALUATIVE CRITERIA (RUBRIC)</w:t>
      </w:r>
      <w:r>
        <w:t xml:space="preserve">: </w:t>
      </w:r>
      <w:r w:rsidR="001E3981">
        <w:t xml:space="preserve">Provide a rubric </w:t>
      </w:r>
      <w:r w:rsidR="00017EC5">
        <w:t>for student evaluation</w:t>
      </w:r>
      <w:r w:rsidR="001E3981">
        <w:t>.</w:t>
      </w:r>
    </w:p>
    <w:p w14:paraId="6F21042F" w14:textId="4ADAE5D4" w:rsidR="00FC3394" w:rsidRPr="00EA0CB7" w:rsidRDefault="00D924CC" w:rsidP="00EA0CB7">
      <w:pPr>
        <w:pStyle w:val="ListParagraph"/>
        <w:numPr>
          <w:ilvl w:val="0"/>
          <w:numId w:val="15"/>
        </w:numPr>
        <w:rPr>
          <w:rStyle w:val="Heading2Char"/>
          <w:rFonts w:eastAsiaTheme="minorEastAsia" w:cs="Calibri"/>
          <w:b w:val="0"/>
          <w:caps w:val="0"/>
          <w:szCs w:val="22"/>
        </w:rPr>
      </w:pPr>
      <w:r>
        <w:rPr>
          <w:rStyle w:val="Heading2Char"/>
        </w:rPr>
        <w:lastRenderedPageBreak/>
        <w:t>Vocabulary</w:t>
      </w:r>
      <w:r w:rsidRPr="00D924CC">
        <w:t>: Provide</w:t>
      </w:r>
      <w:r>
        <w:t xml:space="preserve"> words students </w:t>
      </w:r>
      <w:r w:rsidR="00017EC5">
        <w:t>need to learn</w:t>
      </w:r>
      <w:r>
        <w:t xml:space="preserve"> in this unit of instruction.</w:t>
      </w:r>
    </w:p>
    <w:p w14:paraId="25AFB032" w14:textId="1BD80F97" w:rsidR="00C81B70" w:rsidRDefault="00C81B70" w:rsidP="00EA0CB7">
      <w:pPr>
        <w:pStyle w:val="ListParagraph"/>
        <w:numPr>
          <w:ilvl w:val="0"/>
          <w:numId w:val="15"/>
        </w:numPr>
      </w:pPr>
      <w:r w:rsidRPr="00C81B70">
        <w:rPr>
          <w:rStyle w:val="Heading2Char"/>
        </w:rPr>
        <w:t>Resources</w:t>
      </w:r>
      <w:r>
        <w:t>:</w:t>
      </w:r>
      <w:r w:rsidR="00D924CC">
        <w:t xml:space="preserve"> List </w:t>
      </w:r>
      <w:r w:rsidR="00017EC5">
        <w:t xml:space="preserve">possible </w:t>
      </w:r>
      <w:r w:rsidR="00D924CC">
        <w:t xml:space="preserve">resources </w:t>
      </w:r>
      <w:r w:rsidR="00017EC5">
        <w:t>related to presenting this unit of instruction</w:t>
      </w:r>
      <w:r w:rsidR="00D924CC">
        <w:t>.</w:t>
      </w:r>
    </w:p>
    <w:p w14:paraId="3B696FD4" w14:textId="208F04EB" w:rsidR="00C81B70" w:rsidRPr="00FC3394" w:rsidRDefault="00C81B70" w:rsidP="00EA0CB7">
      <w:pPr>
        <w:pStyle w:val="ListParagraph"/>
        <w:numPr>
          <w:ilvl w:val="0"/>
          <w:numId w:val="15"/>
        </w:numPr>
      </w:pPr>
      <w:r w:rsidRPr="00C81B70">
        <w:rPr>
          <w:rStyle w:val="Heading2Char"/>
        </w:rPr>
        <w:t>Notes</w:t>
      </w:r>
      <w:r>
        <w:t xml:space="preserve">: </w:t>
      </w:r>
      <w:r w:rsidR="00017EC5">
        <w:t>Add</w:t>
      </w:r>
      <w:r w:rsidR="00D924CC">
        <w:t xml:space="preserve"> notes that will assist </w:t>
      </w:r>
      <w:r w:rsidR="00017EC5">
        <w:t xml:space="preserve">you in presenting or reflecting on this unit of </w:t>
      </w:r>
      <w:r w:rsidR="00D924CC">
        <w:t>instruction.</w:t>
      </w:r>
    </w:p>
    <w:p w14:paraId="44AA0128" w14:textId="47DF0E77" w:rsidR="00AF740C" w:rsidRDefault="00AF740C">
      <w:pPr>
        <w:rPr>
          <w:rFonts w:cs="Open Sans"/>
          <w:color w:val="808080" w:themeColor="background1" w:themeShade="80"/>
          <w:szCs w:val="20"/>
        </w:rPr>
      </w:pPr>
      <w:r>
        <w:rPr>
          <w:rFonts w:cs="Open Sans"/>
          <w:color w:val="808080" w:themeColor="background1" w:themeShade="80"/>
          <w:szCs w:val="20"/>
        </w:rPr>
        <w:br w:type="page"/>
      </w:r>
    </w:p>
    <w:p w14:paraId="533ABABB" w14:textId="449D82A0" w:rsidR="008B0312" w:rsidRPr="00072BC7" w:rsidRDefault="001A00F3" w:rsidP="001A00F3">
      <w:pPr>
        <w:pStyle w:val="Heading2"/>
        <w:jc w:val="center"/>
      </w:pPr>
      <w:r>
        <w:t>Unit Plan Table</w:t>
      </w:r>
    </w:p>
    <w:tbl>
      <w:tblPr>
        <w:tblStyle w:val="LessonPlan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11349"/>
      </w:tblGrid>
      <w:tr w:rsidR="001A2D85" w:rsidRPr="00072BC7" w14:paraId="5768EE20" w14:textId="77777777" w:rsidTr="00AF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560115DF" w14:textId="01CA1F0D" w:rsidR="001A2D85" w:rsidRPr="00AF740C" w:rsidRDefault="001A2D85" w:rsidP="00AF740C">
            <w:pPr>
              <w:pStyle w:val="Heading2"/>
              <w:outlineLvl w:val="1"/>
              <w:rPr>
                <w:b/>
              </w:rPr>
            </w:pPr>
            <w:r w:rsidRPr="00AF740C">
              <w:rPr>
                <w:b/>
              </w:rPr>
              <w:t>Section</w:t>
            </w:r>
          </w:p>
        </w:tc>
        <w:tc>
          <w:tcPr>
            <w:tcW w:w="1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02B0E5B4" w14:textId="2B7FB419" w:rsidR="001A2D85" w:rsidRPr="00AF740C" w:rsidRDefault="001A2D85" w:rsidP="00AF740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740C">
              <w:rPr>
                <w:b/>
              </w:rPr>
              <w:t>Information</w:t>
            </w:r>
          </w:p>
        </w:tc>
      </w:tr>
      <w:tr w:rsidR="00B14219" w:rsidRPr="00072BC7" w14:paraId="09F52213" w14:textId="77777777" w:rsidTr="001A2D8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tcBorders>
              <w:top w:val="single" w:sz="4" w:space="0" w:color="auto"/>
            </w:tcBorders>
          </w:tcPr>
          <w:p w14:paraId="592E4EA9" w14:textId="02B8B08D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TEKS (CTE)</w:t>
            </w:r>
          </w:p>
        </w:tc>
        <w:tc>
          <w:tcPr>
            <w:tcW w:w="11349" w:type="dxa"/>
            <w:tcBorders>
              <w:top w:val="single" w:sz="4" w:space="0" w:color="auto"/>
            </w:tcBorders>
          </w:tcPr>
          <w:p w14:paraId="2F749BFF" w14:textId="02CC28C3" w:rsidR="00B14219" w:rsidRDefault="00B14219" w:rsidP="00A26D40">
            <w:pPr>
              <w:spacing w:before="0" w:after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6D40">
              <w:rPr>
                <w:b/>
              </w:rPr>
              <w:t xml:space="preserve">130.165. (c) Knowledge and </w:t>
            </w:r>
            <w:r w:rsidR="00A26D40" w:rsidRPr="00A26D40">
              <w:rPr>
                <w:b/>
              </w:rPr>
              <w:t>s</w:t>
            </w:r>
            <w:r w:rsidRPr="00A26D40">
              <w:rPr>
                <w:b/>
              </w:rPr>
              <w:t>kills</w:t>
            </w:r>
          </w:p>
          <w:p w14:paraId="6D446AB9" w14:textId="77777777" w:rsidR="00A26D40" w:rsidRPr="00A26D40" w:rsidRDefault="00A26D40" w:rsidP="00A26D40">
            <w:pPr>
              <w:spacing w:before="0" w:after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79140C2" w14:textId="6DCE4FA7" w:rsidR="00B14219" w:rsidRPr="00A26D40" w:rsidRDefault="00B14219" w:rsidP="00A26D40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D40">
              <w:t>(5)</w:t>
            </w:r>
            <w:r w:rsidR="00A73750">
              <w:t xml:space="preserve"> </w:t>
            </w:r>
            <w:r w:rsidRPr="00A26D40">
              <w:t>The student plans and uses effective instruction. The student is expected to:</w:t>
            </w:r>
          </w:p>
          <w:p w14:paraId="0A6E1205" w14:textId="32291BE0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(A)</w:t>
            </w:r>
            <w:r w:rsidR="00A73750">
              <w:t xml:space="preserve"> </w:t>
            </w:r>
            <w:r w:rsidRPr="00A26D40">
              <w:t>apply principles and theories that impact instructional planning;</w:t>
            </w:r>
          </w:p>
          <w:p w14:paraId="3BB5FE7E" w14:textId="514C43BF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(B)</w:t>
            </w:r>
            <w:r w:rsidR="00A73750">
              <w:t xml:space="preserve"> </w:t>
            </w:r>
            <w:r w:rsidRPr="00A26D40">
              <w:t>develop instructional materials that align with the Texas Essential Knowledge and Skills;</w:t>
            </w:r>
          </w:p>
          <w:p w14:paraId="4FF0F5D9" w14:textId="7EA50740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(D)</w:t>
            </w:r>
            <w:r w:rsidR="00A73750">
              <w:t xml:space="preserve"> </w:t>
            </w:r>
            <w:r w:rsidRPr="00A26D40">
              <w:t>create lessons plans that meet instructional goals;</w:t>
            </w:r>
          </w:p>
          <w:p w14:paraId="6A146A02" w14:textId="0B540800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(E)</w:t>
            </w:r>
            <w:r w:rsidR="00A73750">
              <w:t xml:space="preserve"> </w:t>
            </w:r>
            <w:r w:rsidRPr="00A26D40">
              <w:t>analyze concepts for developing effective instructional strategies;</w:t>
            </w:r>
          </w:p>
          <w:p w14:paraId="2C33C950" w14:textId="77777777" w:rsidR="00B14219" w:rsidRPr="00A26D40" w:rsidRDefault="00B14219" w:rsidP="00A26D40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D40">
              <w:t>(9)</w:t>
            </w:r>
            <w:r w:rsidRPr="00A26D40">
              <w:tab/>
              <w:t>The student develops technology skills. The student is expected to:</w:t>
            </w:r>
          </w:p>
          <w:p w14:paraId="3EC364CF" w14:textId="31760E42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(A)</w:t>
            </w:r>
            <w:r w:rsidR="00A73750">
              <w:t xml:space="preserve"> </w:t>
            </w:r>
            <w:r w:rsidRPr="00A26D40">
              <w:t>access and use current technology applications appropriate for specific subject matter and student needs; and</w:t>
            </w:r>
          </w:p>
          <w:p w14:paraId="608C85C8" w14:textId="0C0B3645" w:rsidR="00B14219" w:rsidRPr="00973384" w:rsidRDefault="00B14219" w:rsidP="00A26D40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26D40">
              <w:t>(B)</w:t>
            </w:r>
            <w:r w:rsidR="00A73750">
              <w:t xml:space="preserve"> </w:t>
            </w:r>
            <w:r w:rsidRPr="00A26D40">
              <w:t>integrate the skillful use of technology as a tool for instruction, evaluation, and management.</w:t>
            </w:r>
          </w:p>
        </w:tc>
      </w:tr>
      <w:tr w:rsidR="00B14219" w:rsidRPr="00072BC7" w14:paraId="74F2588A" w14:textId="77777777" w:rsidTr="00CE142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13ECB50" w14:textId="5CF3F260" w:rsidR="00B14219" w:rsidRPr="00C31FFD" w:rsidRDefault="00B14219" w:rsidP="00B14219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Question</w:t>
            </w:r>
          </w:p>
        </w:tc>
        <w:tc>
          <w:tcPr>
            <w:tcW w:w="11349" w:type="dxa"/>
          </w:tcPr>
          <w:p w14:paraId="63A6114B" w14:textId="6BA8B70A" w:rsidR="00B14219" w:rsidRPr="00B14219" w:rsidRDefault="00B14219" w:rsidP="00B14219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B14219">
              <w:rPr>
                <w:rFonts w:cs="Open Sans"/>
                <w:color w:val="auto"/>
              </w:rPr>
              <w:t xml:space="preserve">How do educators </w:t>
            </w:r>
            <w:r w:rsidRPr="00B14219">
              <w:rPr>
                <w:rFonts w:cs="Open Sans"/>
              </w:rPr>
              <w:t>incorporate research-based and evidenced-based theories and strategies to create effective unit and lesson plans that both align with TEKS and that include accommodations for students with learning differences?</w:t>
            </w:r>
          </w:p>
        </w:tc>
      </w:tr>
      <w:tr w:rsidR="00B14219" w:rsidRPr="00072BC7" w14:paraId="43BBC01D" w14:textId="77777777" w:rsidTr="00DA205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0B607C0" w14:textId="0474A2FB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Essential Content Questions</w:t>
            </w:r>
          </w:p>
        </w:tc>
        <w:tc>
          <w:tcPr>
            <w:tcW w:w="11349" w:type="dxa"/>
          </w:tcPr>
          <w:p w14:paraId="4282E854" w14:textId="77777777" w:rsidR="00B14219" w:rsidRDefault="00B14219" w:rsidP="00B1421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5678B9">
              <w:rPr>
                <w:rFonts w:cs="Open Sans"/>
                <w:color w:val="auto"/>
              </w:rPr>
              <w:t xml:space="preserve">How will you include diverse student populations in </w:t>
            </w:r>
            <w:r>
              <w:rPr>
                <w:rFonts w:cs="Open Sans"/>
                <w:color w:val="auto"/>
              </w:rPr>
              <w:t>overall</w:t>
            </w:r>
            <w:r w:rsidRPr="005678B9">
              <w:rPr>
                <w:rFonts w:cs="Open Sans"/>
                <w:color w:val="auto"/>
              </w:rPr>
              <w:t xml:space="preserve"> instructional planning?</w:t>
            </w:r>
          </w:p>
          <w:p w14:paraId="22E42D68" w14:textId="77777777" w:rsidR="00B14219" w:rsidRPr="00B14219" w:rsidRDefault="00B14219" w:rsidP="00B1421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C0290B">
              <w:rPr>
                <w:rFonts w:cs="Open Sans"/>
                <w:color w:val="auto"/>
              </w:rPr>
              <w:t>How will you use technology effectively as an instructional tool?</w:t>
            </w:r>
          </w:p>
          <w:p w14:paraId="12543681" w14:textId="60CC9104" w:rsidR="00B14219" w:rsidRPr="00072BC7" w:rsidRDefault="00B14219" w:rsidP="00B1421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C0290B">
              <w:rPr>
                <w:rFonts w:cs="Open Sans"/>
                <w:color w:val="auto"/>
              </w:rPr>
              <w:t>How will you develop effective and engaging instructional materials that align with the TEKS</w:t>
            </w:r>
            <w:r>
              <w:rPr>
                <w:rFonts w:cs="Open Sans"/>
                <w:color w:val="auto"/>
              </w:rPr>
              <w:t xml:space="preserve"> </w:t>
            </w:r>
            <w:r>
              <w:rPr>
                <w:rFonts w:cs="Open Sans"/>
              </w:rPr>
              <w:t xml:space="preserve">and </w:t>
            </w:r>
            <w:r w:rsidRPr="00423CE0">
              <w:rPr>
                <w:rFonts w:cs="Open Sans"/>
              </w:rPr>
              <w:t>include accommodations for students with learning differences</w:t>
            </w:r>
            <w:r>
              <w:rPr>
                <w:rFonts w:cs="Open Sans"/>
              </w:rPr>
              <w:t>?</w:t>
            </w:r>
          </w:p>
        </w:tc>
      </w:tr>
      <w:tr w:rsidR="00B14219" w:rsidRPr="00072BC7" w14:paraId="310ED449" w14:textId="77777777" w:rsidTr="00DA20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DF5D523" w14:textId="77777777" w:rsidR="00B14219" w:rsidRPr="00C31FFD" w:rsidRDefault="00B14219" w:rsidP="00B14219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Learning Objectives</w:t>
            </w:r>
          </w:p>
          <w:p w14:paraId="103B8E5C" w14:textId="51F6E187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(What student will know and be able to do)</w:t>
            </w:r>
          </w:p>
        </w:tc>
        <w:tc>
          <w:tcPr>
            <w:tcW w:w="11349" w:type="dxa"/>
          </w:tcPr>
          <w:p w14:paraId="14D52E1B" w14:textId="3A9D40B4" w:rsidR="00B14219" w:rsidRPr="00B14219" w:rsidRDefault="00B14219" w:rsidP="00B14219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B14219">
              <w:rPr>
                <w:rFonts w:cs="Open Sans"/>
                <w:b/>
                <w:color w:val="auto"/>
              </w:rPr>
              <w:t>Students will</w:t>
            </w:r>
            <w:r w:rsidR="007A5011">
              <w:rPr>
                <w:rFonts w:cs="Open Sans"/>
                <w:b/>
                <w:color w:val="auto"/>
              </w:rPr>
              <w:t xml:space="preserve"> be able to</w:t>
            </w:r>
            <w:r w:rsidRPr="00B14219">
              <w:rPr>
                <w:rFonts w:cs="Open Sans"/>
                <w:b/>
                <w:color w:val="auto"/>
              </w:rPr>
              <w:t>:</w:t>
            </w:r>
          </w:p>
          <w:p w14:paraId="10BF6545" w14:textId="77777777" w:rsidR="00B14219" w:rsidRDefault="00B14219" w:rsidP="00B142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Incorporate</w:t>
            </w:r>
            <w:r w:rsidRPr="00423CE0">
              <w:rPr>
                <w:rFonts w:cs="Open Sans"/>
              </w:rPr>
              <w:t xml:space="preserve"> research-based and evidenced-based </w:t>
            </w:r>
            <w:r>
              <w:rPr>
                <w:rFonts w:cs="Open Sans"/>
              </w:rPr>
              <w:t xml:space="preserve">theories and </w:t>
            </w:r>
            <w:r w:rsidRPr="00423CE0">
              <w:rPr>
                <w:rFonts w:cs="Open Sans"/>
              </w:rPr>
              <w:t xml:space="preserve">strategies to create </w:t>
            </w:r>
            <w:r>
              <w:rPr>
                <w:rFonts w:cs="Open Sans"/>
              </w:rPr>
              <w:t xml:space="preserve">effective unit and </w:t>
            </w:r>
            <w:r w:rsidRPr="00423CE0">
              <w:rPr>
                <w:rFonts w:cs="Open Sans"/>
              </w:rPr>
              <w:t>lesson plans</w:t>
            </w:r>
          </w:p>
          <w:p w14:paraId="199CC73C" w14:textId="77777777" w:rsidR="00B14219" w:rsidRPr="00C0290B" w:rsidRDefault="00B14219" w:rsidP="00B1421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D</w:t>
            </w:r>
            <w:r w:rsidRPr="00C0290B">
              <w:rPr>
                <w:rFonts w:cs="Open Sans"/>
              </w:rPr>
              <w:t>emonstrate effective use of current and</w:t>
            </w:r>
            <w:r>
              <w:rPr>
                <w:rFonts w:cs="Open Sans"/>
              </w:rPr>
              <w:t>/or</w:t>
            </w:r>
            <w:r w:rsidRPr="00C0290B">
              <w:rPr>
                <w:rFonts w:cs="Open Sans"/>
              </w:rPr>
              <w:t xml:space="preserve"> emerging technologies in education and training</w:t>
            </w:r>
          </w:p>
          <w:p w14:paraId="4C7D92AC" w14:textId="77777777" w:rsidR="00B14219" w:rsidRPr="00B14219" w:rsidRDefault="00B14219" w:rsidP="00B1421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010F28">
              <w:rPr>
                <w:rFonts w:cs="Open Sans"/>
                <w:color w:val="auto"/>
              </w:rPr>
              <w:t>Create</w:t>
            </w:r>
            <w:r>
              <w:rPr>
                <w:rFonts w:cs="Open Sans"/>
                <w:color w:val="auto"/>
              </w:rPr>
              <w:t xml:space="preserve"> and present TEKS-aligned</w:t>
            </w:r>
            <w:r w:rsidRPr="00010F28">
              <w:rPr>
                <w:rFonts w:cs="Open Sans"/>
                <w:color w:val="auto"/>
              </w:rPr>
              <w:t xml:space="preserve"> lesson plans that include accommodations for students with learning differences</w:t>
            </w:r>
          </w:p>
          <w:p w14:paraId="0EA02742" w14:textId="7C68687E" w:rsidR="00B14219" w:rsidRPr="00072BC7" w:rsidRDefault="00B14219" w:rsidP="00B1421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>
              <w:rPr>
                <w:rFonts w:cs="Open Sans"/>
              </w:rPr>
              <w:t xml:space="preserve">Through a peer-review process, provide and accept constructive feedback </w:t>
            </w:r>
          </w:p>
        </w:tc>
      </w:tr>
      <w:tr w:rsidR="00B14219" w:rsidRPr="00072BC7" w14:paraId="2FA5F539" w14:textId="77777777" w:rsidTr="00DA2059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BC8BDF1" w14:textId="77777777" w:rsidR="00B14219" w:rsidRPr="00C31FFD" w:rsidRDefault="00B14219" w:rsidP="00B14219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 xml:space="preserve">Assessments </w:t>
            </w:r>
          </w:p>
          <w:p w14:paraId="20F2CF09" w14:textId="6573E6A4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(Performance Tasks)</w:t>
            </w:r>
          </w:p>
        </w:tc>
        <w:tc>
          <w:tcPr>
            <w:tcW w:w="11349" w:type="dxa"/>
          </w:tcPr>
          <w:p w14:paraId="62D35CF2" w14:textId="7BD47486" w:rsidR="00B14219" w:rsidRPr="00B14219" w:rsidRDefault="00B14219" w:rsidP="00B14219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B14219">
              <w:rPr>
                <w:rFonts w:cs="Open Sans"/>
                <w:b/>
                <w:color w:val="auto"/>
              </w:rPr>
              <w:t>Students will</w:t>
            </w:r>
            <w:r w:rsidR="007A5011">
              <w:rPr>
                <w:rFonts w:cs="Open Sans"/>
                <w:b/>
                <w:color w:val="auto"/>
              </w:rPr>
              <w:t xml:space="preserve"> be able to</w:t>
            </w:r>
            <w:r w:rsidRPr="00B14219">
              <w:rPr>
                <w:rFonts w:cs="Open Sans"/>
                <w:b/>
                <w:color w:val="auto"/>
              </w:rPr>
              <w:t>:</w:t>
            </w:r>
          </w:p>
          <w:p w14:paraId="61A195BD" w14:textId="77777777" w:rsidR="00B14219" w:rsidRPr="00010F28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010F28">
              <w:rPr>
                <w:rFonts w:cs="Open Sans"/>
                <w:color w:val="auto"/>
              </w:rPr>
              <w:t>Create</w:t>
            </w:r>
            <w:r>
              <w:rPr>
                <w:rFonts w:cs="Open Sans"/>
                <w:color w:val="auto"/>
              </w:rPr>
              <w:t xml:space="preserve"> TEKS-aligned</w:t>
            </w:r>
            <w:r w:rsidRPr="00010F28">
              <w:rPr>
                <w:rFonts w:cs="Open Sans"/>
                <w:color w:val="auto"/>
              </w:rPr>
              <w:t xml:space="preserve"> lesson plans that include accommodations for students with learning differences</w:t>
            </w:r>
          </w:p>
          <w:p w14:paraId="50C56E6C" w14:textId="77777777" w:rsidR="00B14219" w:rsidRPr="00B14219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color w:val="auto"/>
              </w:rPr>
              <w:t xml:space="preserve">Use current and/or emerging technology to present </w:t>
            </w:r>
            <w:r w:rsidRPr="00010F28">
              <w:rPr>
                <w:rFonts w:cs="Open Sans"/>
                <w:color w:val="auto"/>
              </w:rPr>
              <w:t>lesson plan</w:t>
            </w:r>
            <w:r>
              <w:rPr>
                <w:rFonts w:cs="Open Sans"/>
                <w:color w:val="auto"/>
              </w:rPr>
              <w:t xml:space="preserve"> to peers</w:t>
            </w:r>
          </w:p>
          <w:p w14:paraId="495AA9BF" w14:textId="66F7F02A" w:rsidR="00B14219" w:rsidRPr="008F1CF0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Peer-review student-created lesson plans</w:t>
            </w:r>
          </w:p>
        </w:tc>
      </w:tr>
      <w:tr w:rsidR="00B14219" w:rsidRPr="00072BC7" w14:paraId="09169344" w14:textId="77777777" w:rsidTr="00DA205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179AC25" w14:textId="77777777" w:rsidR="00B14219" w:rsidRPr="00C31FFD" w:rsidRDefault="00B14219" w:rsidP="00B14219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 xml:space="preserve">Evaluative Criteria </w:t>
            </w:r>
          </w:p>
          <w:p w14:paraId="0CBD5E22" w14:textId="5CCC821D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(Rubric)</w:t>
            </w:r>
          </w:p>
        </w:tc>
        <w:tc>
          <w:tcPr>
            <w:tcW w:w="11349" w:type="dxa"/>
          </w:tcPr>
          <w:p w14:paraId="162EB8F4" w14:textId="23F1DAD5" w:rsidR="00315746" w:rsidRPr="00DB3387" w:rsidRDefault="00315746" w:rsidP="007A501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DB3387">
              <w:rPr>
                <w:rFonts w:cs="Open Sans"/>
                <w:color w:val="auto"/>
              </w:rPr>
              <w:t>Lesson Planning Self-Assessment Rubric</w:t>
            </w:r>
          </w:p>
          <w:p w14:paraId="57409571" w14:textId="77777777" w:rsidR="00B14219" w:rsidRPr="00DB3387" w:rsidRDefault="00B14219" w:rsidP="007A501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DB3387">
              <w:rPr>
                <w:rFonts w:cs="Open Sans"/>
                <w:color w:val="auto"/>
              </w:rPr>
              <w:t>Lesson Plan Peer</w:t>
            </w:r>
            <w:r w:rsidR="00DB3387" w:rsidRPr="00DB3387">
              <w:rPr>
                <w:rFonts w:cs="Open Sans"/>
                <w:color w:val="auto"/>
              </w:rPr>
              <w:t>-Assessment</w:t>
            </w:r>
            <w:r w:rsidRPr="00DB3387">
              <w:rPr>
                <w:rFonts w:cs="Open Sans"/>
                <w:color w:val="auto"/>
              </w:rPr>
              <w:t xml:space="preserve"> Rubric</w:t>
            </w:r>
          </w:p>
          <w:p w14:paraId="04BAB0A0" w14:textId="63B1E505" w:rsidR="00DB3387" w:rsidRPr="007A5011" w:rsidRDefault="00DB3387" w:rsidP="007A501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DB3387">
              <w:rPr>
                <w:rFonts w:cs="Open Sans"/>
                <w:color w:val="000000"/>
              </w:rPr>
              <w:t>Class Discussion and Participation Self-Assessment Rubric</w:t>
            </w:r>
          </w:p>
        </w:tc>
      </w:tr>
      <w:tr w:rsidR="00B14219" w:rsidRPr="00072BC7" w14:paraId="5B2AB7FA" w14:textId="77777777" w:rsidTr="00DA205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E8AA238" w14:textId="6C2AFDA7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Vocabulary</w:t>
            </w:r>
          </w:p>
        </w:tc>
        <w:tc>
          <w:tcPr>
            <w:tcW w:w="11349" w:type="dxa"/>
          </w:tcPr>
          <w:p w14:paraId="628352CC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Accommodate</w:t>
            </w:r>
          </w:p>
          <w:p w14:paraId="630C4D66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Andragogy</w:t>
            </w:r>
          </w:p>
          <w:p w14:paraId="6A023478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Backward Design</w:t>
            </w:r>
          </w:p>
          <w:p w14:paraId="71A3C771" w14:textId="19E9BBA4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 xml:space="preserve">Developmentally </w:t>
            </w:r>
            <w:r w:rsidR="005408CE" w:rsidRPr="005408CE">
              <w:rPr>
                <w:rFonts w:cs="Open Sans"/>
              </w:rPr>
              <w:t>A</w:t>
            </w:r>
            <w:r w:rsidRPr="005408CE">
              <w:rPr>
                <w:rFonts w:cs="Open Sans"/>
              </w:rPr>
              <w:t>ppropriate</w:t>
            </w:r>
          </w:p>
          <w:p w14:paraId="36D04617" w14:textId="6F1DAD14" w:rsidR="005408CE" w:rsidRPr="005408CE" w:rsidRDefault="005408CE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Diverse Learners</w:t>
            </w:r>
          </w:p>
          <w:p w14:paraId="7D8D3FD3" w14:textId="2ED6709F" w:rsidR="005408CE" w:rsidRPr="005408CE" w:rsidRDefault="005408CE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Facilitate</w:t>
            </w:r>
          </w:p>
          <w:p w14:paraId="332730D0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Graphic Organizer</w:t>
            </w:r>
          </w:p>
          <w:p w14:paraId="018871A9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Formative Assessment</w:t>
            </w:r>
          </w:p>
          <w:p w14:paraId="6A7D088E" w14:textId="4946FAF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Pedagogy</w:t>
            </w:r>
          </w:p>
          <w:p w14:paraId="43169FD6" w14:textId="55FEA0DE" w:rsidR="005408CE" w:rsidRPr="005408CE" w:rsidRDefault="005408CE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Special Populations</w:t>
            </w:r>
          </w:p>
          <w:p w14:paraId="25A4D4D1" w14:textId="77777777" w:rsidR="00B14219" w:rsidRPr="005408CE" w:rsidRDefault="00B14219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5408CE">
              <w:rPr>
                <w:rFonts w:cs="Open Sans"/>
              </w:rPr>
              <w:t>Summative Assessment</w:t>
            </w:r>
          </w:p>
          <w:p w14:paraId="177E1650" w14:textId="731EDF88" w:rsidR="005408CE" w:rsidRPr="00B14219" w:rsidRDefault="005408CE" w:rsidP="00B1421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CE">
              <w:rPr>
                <w:rFonts w:cs="Open Sans"/>
                <w:color w:val="000000"/>
              </w:rPr>
              <w:t>Texas Essential Knowledge and Skills (TEKS)</w:t>
            </w:r>
          </w:p>
        </w:tc>
      </w:tr>
      <w:tr w:rsidR="00B14219" w:rsidRPr="00072BC7" w14:paraId="6A2DD0F9" w14:textId="77777777" w:rsidTr="00C81B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9ABEDD8" w14:textId="75B39793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Resources</w:t>
            </w:r>
          </w:p>
        </w:tc>
        <w:tc>
          <w:tcPr>
            <w:tcW w:w="11349" w:type="dxa"/>
          </w:tcPr>
          <w:p w14:paraId="5C395A8D" w14:textId="77777777" w:rsidR="00B14219" w:rsidRPr="00CB04CA" w:rsidRDefault="00B14219" w:rsidP="00B14219">
            <w:pPr>
              <w:pStyle w:val="ListBullet"/>
              <w:numPr>
                <w:ilvl w:val="0"/>
                <w:numId w:val="21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Texas Education Agency (TEA)</w:t>
            </w:r>
            <w:r w:rsidRPr="00E96C91">
              <w:rPr>
                <w:rFonts w:cs="Open Sans"/>
                <w:b/>
                <w:color w:val="auto"/>
              </w:rPr>
              <w:br/>
              <w:t>Texas Essential Knowledge and Skills (TEKS)</w:t>
            </w:r>
            <w:r w:rsidRPr="00CB04CA">
              <w:rPr>
                <w:rFonts w:cs="Open Sans"/>
                <w:color w:val="auto"/>
              </w:rPr>
              <w:t xml:space="preserve">  </w:t>
            </w:r>
            <w:hyperlink r:id="rId11" w:history="1">
              <w:r w:rsidRPr="00CB04CA">
                <w:rPr>
                  <w:rFonts w:cs="Open Sans"/>
                  <w:color w:val="auto"/>
                  <w:u w:val="single"/>
                </w:rPr>
                <w:t>http://ritter.tea.state.tx.us/rules/tac/chapter130/index.html</w:t>
              </w:r>
            </w:hyperlink>
          </w:p>
          <w:p w14:paraId="1F53C5A4" w14:textId="70C43454" w:rsidR="00B14219" w:rsidRPr="006122C8" w:rsidRDefault="00B14219" w:rsidP="00B14219">
            <w:pPr>
              <w:pStyle w:val="ListBullet"/>
              <w:numPr>
                <w:ilvl w:val="0"/>
                <w:numId w:val="21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Texas CTE Resource Center</w:t>
            </w:r>
            <w:r>
              <w:rPr>
                <w:rFonts w:cs="Open Sans"/>
                <w:b/>
                <w:color w:val="auto"/>
              </w:rPr>
              <w:t xml:space="preserve"> (TCRC)</w:t>
            </w:r>
          </w:p>
          <w:p w14:paraId="6BD1E610" w14:textId="77777777" w:rsidR="00B14219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>
              <w:rPr>
                <w:rFonts w:cs="Open Sans"/>
                <w:color w:val="auto"/>
              </w:rPr>
              <w:t>Search “Special Populations”</w:t>
            </w:r>
          </w:p>
          <w:p w14:paraId="6E73EA92" w14:textId="77777777" w:rsidR="00B14219" w:rsidRPr="00CB04CA" w:rsidRDefault="008D697B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2" w:history="1">
              <w:r w:rsidR="00B14219" w:rsidRPr="00CA39C7">
                <w:rPr>
                  <w:rStyle w:val="Hyperlink"/>
                  <w:rFonts w:cs="Open Sans"/>
                </w:rPr>
                <w:t>https://txcte.org/</w:t>
              </w:r>
            </w:hyperlink>
          </w:p>
          <w:p w14:paraId="6FFADF7E" w14:textId="77777777" w:rsidR="00B14219" w:rsidRDefault="00B14219" w:rsidP="00B1421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ASCD</w:t>
            </w:r>
          </w:p>
          <w:p w14:paraId="065CD9BE" w14:textId="77777777" w:rsidR="00B14219" w:rsidRDefault="00B14219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Introduction: The Logic of Backward Design</w:t>
            </w:r>
          </w:p>
          <w:p w14:paraId="3319EFF8" w14:textId="3F2D8555" w:rsidR="00B14219" w:rsidRDefault="008D697B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B14219" w:rsidRPr="001A285D">
                <w:rPr>
                  <w:rStyle w:val="Hyperlink"/>
                </w:rPr>
                <w:t>https://www.ascd.org/ASCD/pdf/books/mctighe2004_intro.pdf</w:t>
              </w:r>
            </w:hyperlink>
          </w:p>
          <w:p w14:paraId="0517BB70" w14:textId="77777777" w:rsidR="00B14219" w:rsidRPr="005678B9" w:rsidRDefault="00B14219" w:rsidP="00B1421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78B9">
              <w:rPr>
                <w:rFonts w:cs="Open Sans"/>
                <w:b/>
              </w:rPr>
              <w:t>Learning Disabilities Association of America</w:t>
            </w:r>
          </w:p>
          <w:p w14:paraId="7A7E6FF5" w14:textId="77777777" w:rsidR="00B14219" w:rsidRDefault="00B14219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423CE0">
              <w:rPr>
                <w:rFonts w:cs="Open Sans"/>
              </w:rPr>
              <w:t xml:space="preserve">Graphic Organizers are visual tools used to support student comprehension, </w:t>
            </w:r>
            <w:r>
              <w:rPr>
                <w:rFonts w:cs="Open Sans"/>
              </w:rPr>
              <w:t>suc</w:t>
            </w:r>
            <w:r w:rsidRPr="00423CE0">
              <w:rPr>
                <w:rFonts w:cs="Open Sans"/>
              </w:rPr>
              <w:t xml:space="preserve">h as Venn Diagrams, T-Charts, Flow Charts, Concept Maps, Semantic Maps, Story Maps, Spider Diagrams, </w:t>
            </w:r>
            <w:r>
              <w:rPr>
                <w:rFonts w:cs="Open Sans"/>
              </w:rPr>
              <w:t>and more:</w:t>
            </w:r>
          </w:p>
          <w:p w14:paraId="5F99F3A7" w14:textId="22139322" w:rsidR="00B14219" w:rsidRPr="00423CE0" w:rsidRDefault="008D697B" w:rsidP="00B14219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hyperlink r:id="rId14" w:history="1">
              <w:r w:rsidR="00B14219" w:rsidRPr="001A285D">
                <w:rPr>
                  <w:rStyle w:val="Hyperlink"/>
                  <w:rFonts w:cs="Open Sans"/>
                </w:rPr>
                <w:t>https://ldaamerica.org/graphic-organizers/</w:t>
              </w:r>
            </w:hyperlink>
          </w:p>
          <w:p w14:paraId="30252C01" w14:textId="77777777" w:rsidR="00B14219" w:rsidRDefault="00B14219" w:rsidP="00B1421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30F42">
              <w:rPr>
                <w:b/>
              </w:rPr>
              <w:t>Edutopia</w:t>
            </w:r>
          </w:p>
          <w:p w14:paraId="1D15F024" w14:textId="77777777" w:rsidR="00B14219" w:rsidRDefault="00B14219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Supporting Practice with Emerging Technologies</w:t>
            </w:r>
          </w:p>
          <w:p w14:paraId="6DAA5D62" w14:textId="4378A0CD" w:rsidR="00B14219" w:rsidRDefault="008D697B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B14219" w:rsidRPr="001A285D">
                <w:rPr>
                  <w:rStyle w:val="Hyperlink"/>
                </w:rPr>
                <w:t>https://www.edutopia.org/blog/supporting-practice-with-emerging-technologies-sandra-schamroth-abrams</w:t>
              </w:r>
            </w:hyperlink>
          </w:p>
          <w:p w14:paraId="3BCD5D4E" w14:textId="77777777" w:rsidR="00B14219" w:rsidRPr="00901547" w:rsidRDefault="00B14219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Classroom Behavior? There’s an App for That</w:t>
            </w:r>
          </w:p>
          <w:p w14:paraId="508157F8" w14:textId="0B0B9D33" w:rsidR="00B14219" w:rsidRDefault="008D697B" w:rsidP="00B14219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14219" w:rsidRPr="001A285D">
                <w:rPr>
                  <w:rStyle w:val="Hyperlink"/>
                </w:rPr>
                <w:t>https://www.edutopia.org/blog/classroom-behavior-classdojo-app-lisa-mims</w:t>
              </w:r>
            </w:hyperlink>
          </w:p>
          <w:p w14:paraId="0D18AEBF" w14:textId="77777777" w:rsidR="00B14219" w:rsidRPr="00E96C91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Putting Learning First with New Tech Tools</w:t>
            </w:r>
          </w:p>
          <w:p w14:paraId="06F48D36" w14:textId="77777777" w:rsidR="00B14219" w:rsidRPr="00CB04CA" w:rsidRDefault="008D697B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7" w:history="1">
              <w:r w:rsidR="00B14219" w:rsidRPr="00CB04CA">
                <w:rPr>
                  <w:rStyle w:val="Hyperlink"/>
                  <w:rFonts w:cs="Open Sans"/>
                  <w:color w:val="auto"/>
                </w:rPr>
                <w:t>https://www.edutopia.org/article/putting-learning-first-new-tech-tools</w:t>
              </w:r>
            </w:hyperlink>
          </w:p>
          <w:p w14:paraId="6EDA1074" w14:textId="77777777" w:rsidR="00B14219" w:rsidRPr="00E96C91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How to Teach Internet Safety to Younger Students</w:t>
            </w:r>
          </w:p>
          <w:p w14:paraId="3EB6290D" w14:textId="6C1EB9A9" w:rsidR="00B14219" w:rsidRDefault="008D697B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hyperlink r:id="rId18" w:history="1">
              <w:r w:rsidR="00B14219" w:rsidRPr="001A285D">
                <w:rPr>
                  <w:rStyle w:val="Hyperlink"/>
                  <w:rFonts w:cs="Open Sans"/>
                </w:rPr>
                <w:t>https://www.edutopia.org/blog/internet-safety-younger-elementary-mary-beth-hertz</w:t>
              </w:r>
            </w:hyperlink>
          </w:p>
          <w:p w14:paraId="6D51BBC0" w14:textId="77777777" w:rsidR="00B14219" w:rsidRPr="00E96C91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New Teachers: Lesson and Curriculum Planning</w:t>
            </w:r>
          </w:p>
          <w:p w14:paraId="739CA165" w14:textId="77777777" w:rsidR="00B14219" w:rsidRPr="00CB04CA" w:rsidRDefault="008D697B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9" w:history="1">
              <w:r w:rsidR="00B14219" w:rsidRPr="00CB04CA">
                <w:rPr>
                  <w:rStyle w:val="Hyperlink"/>
                  <w:rFonts w:cs="Open Sans"/>
                  <w:color w:val="auto"/>
                </w:rPr>
                <w:t>https://www.edutopia.org/article/new-teachers-lesson-curriculum-planning-resources</w:t>
              </w:r>
            </w:hyperlink>
          </w:p>
          <w:p w14:paraId="5AE88837" w14:textId="77777777" w:rsidR="00B14219" w:rsidRPr="00E96C91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Just-in-Time Teaching: An Interactive Engagement Pedagogy</w:t>
            </w:r>
          </w:p>
          <w:p w14:paraId="25BE8ECF" w14:textId="77777777" w:rsidR="00B14219" w:rsidRDefault="008D697B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Open Sans"/>
                <w:color w:val="auto"/>
              </w:rPr>
            </w:pPr>
            <w:hyperlink r:id="rId20" w:history="1">
              <w:r w:rsidR="00B14219" w:rsidRPr="00CB04CA">
                <w:rPr>
                  <w:rStyle w:val="Hyperlink"/>
                  <w:rFonts w:cs="Open Sans"/>
                  <w:color w:val="auto"/>
                </w:rPr>
                <w:t>https://www.edutopia.org/blog/just-in-time-teaching-gregor-novak</w:t>
              </w:r>
            </w:hyperlink>
          </w:p>
          <w:p w14:paraId="1A795319" w14:textId="77777777" w:rsidR="00B14219" w:rsidRDefault="00B14219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Creating an Inclusive Classroom</w:t>
            </w:r>
          </w:p>
          <w:p w14:paraId="3B75ACE4" w14:textId="00C2C4A8" w:rsidR="00B14219" w:rsidRDefault="008D697B" w:rsidP="00B14219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B14219" w:rsidRPr="001A285D">
                <w:rPr>
                  <w:rStyle w:val="Hyperlink"/>
                </w:rPr>
                <w:t>https://www.edutopia.org/article/creating-inclusive-classroom</w:t>
              </w:r>
            </w:hyperlink>
          </w:p>
          <w:p w14:paraId="2C767342" w14:textId="77777777" w:rsidR="00B14219" w:rsidRPr="00816F58" w:rsidRDefault="00B14219" w:rsidP="00B14219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816F58">
              <w:rPr>
                <w:rFonts w:cs="Open Sans"/>
                <w:b/>
                <w:color w:val="auto"/>
              </w:rPr>
              <w:t>Backwards Planning Takes Thinking Ahead</w:t>
            </w:r>
          </w:p>
          <w:p w14:paraId="03D053DC" w14:textId="573068F1" w:rsidR="00B14219" w:rsidRPr="00072BC7" w:rsidRDefault="008D697B" w:rsidP="00B14219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hyperlink r:id="rId22" w:history="1">
              <w:r w:rsidR="00B14219" w:rsidRPr="00BC132E">
                <w:rPr>
                  <w:rStyle w:val="Hyperlink"/>
                  <w:rFonts w:cs="Open Sans"/>
                </w:rPr>
                <w:t>https://www.edutopia.org/blog/backwards-planning-thinking-ahead-rebecca-alber</w:t>
              </w:r>
            </w:hyperlink>
          </w:p>
        </w:tc>
      </w:tr>
      <w:tr w:rsidR="00B14219" w:rsidRPr="00072BC7" w14:paraId="349481FF" w14:textId="77777777" w:rsidTr="00C81B7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8DA13E4" w14:textId="402E9582" w:rsidR="00B14219" w:rsidRPr="00C31FFD" w:rsidRDefault="00B14219" w:rsidP="00B14219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Notes</w:t>
            </w:r>
          </w:p>
        </w:tc>
        <w:tc>
          <w:tcPr>
            <w:tcW w:w="11349" w:type="dxa"/>
          </w:tcPr>
          <w:p w14:paraId="5139E1B3" w14:textId="77777777" w:rsidR="00B14219" w:rsidRPr="00072BC7" w:rsidRDefault="00B14219" w:rsidP="00B14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</w:p>
        </w:tc>
      </w:tr>
    </w:tbl>
    <w:p w14:paraId="033F87EB" w14:textId="1BECB54C" w:rsidR="006678A6" w:rsidRDefault="006678A6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p w14:paraId="62F3EFFC" w14:textId="77777777" w:rsidR="00CE1423" w:rsidRPr="00072BC7" w:rsidRDefault="00CE1423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sectPr w:rsidR="00CE1423" w:rsidRPr="00072BC7" w:rsidSect="008B0312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1008" w:right="720" w:bottom="1008" w:left="576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DD696" w14:textId="77777777" w:rsidR="008D697B" w:rsidRDefault="008D697B">
      <w:pPr>
        <w:spacing w:before="0" w:after="0"/>
      </w:pPr>
      <w:r>
        <w:separator/>
      </w:r>
    </w:p>
  </w:endnote>
  <w:endnote w:type="continuationSeparator" w:id="0">
    <w:p w14:paraId="234993E6" w14:textId="77777777" w:rsidR="008D697B" w:rsidRDefault="008D69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D504" w14:textId="611AECBB" w:rsidR="008A0BA8" w:rsidRPr="00EA0CB7" w:rsidRDefault="008A0BA8" w:rsidP="00EA0CB7">
    <w:pPr>
      <w:pStyle w:val="Footer"/>
      <w:spacing w:before="0"/>
      <w:jc w:val="left"/>
      <w:rPr>
        <w:rFonts w:ascii="Calibri" w:hAnsi="Calibri" w:cs="Calibri"/>
        <w:noProof/>
        <w:sz w:val="20"/>
        <w:szCs w:val="20"/>
      </w:rPr>
    </w:pPr>
    <w:r w:rsidRPr="008F1CF0">
      <w:rPr>
        <w:rFonts w:cs="Open Sans"/>
        <w:color w:val="auto"/>
        <w:sz w:val="18"/>
        <w:szCs w:val="20"/>
      </w:rPr>
      <w:t>Copyrig</w:t>
    </w:r>
    <w:r w:rsidRPr="00EA0CB7">
      <w:rPr>
        <w:rFonts w:ascii="Calibri" w:hAnsi="Calibri" w:cs="Calibri"/>
        <w:color w:val="auto"/>
        <w:sz w:val="20"/>
        <w:szCs w:val="20"/>
      </w:rPr>
      <w:t>ht © Texas Education Agency, 2018. All rights reserved.</w:t>
    </w:r>
    <w:r w:rsidRPr="00EA0CB7">
      <w:rPr>
        <w:rFonts w:ascii="Calibri" w:hAnsi="Calibri" w:cs="Calibri"/>
        <w:noProof/>
        <w:sz w:val="20"/>
        <w:szCs w:val="20"/>
      </w:rPr>
      <w:t xml:space="preserve">  </w:t>
    </w:r>
    <w:r w:rsidRPr="00EA0CB7">
      <w:rPr>
        <w:rFonts w:ascii="Calibri" w:hAnsi="Calibri" w:cs="Calibri"/>
        <w:noProof/>
        <w:sz w:val="20"/>
        <w:szCs w:val="20"/>
      </w:rPr>
      <w:ptab w:relativeTo="margin" w:alignment="center" w:leader="non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begin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instrText xml:space="preserve"> PAGE   \* MERGEFORMAT </w:instrTex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separat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t>1</w: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end"/>
    </w:r>
    <w:r w:rsidRPr="00EA0CB7">
      <w:rPr>
        <w:rFonts w:ascii="Calibri" w:hAnsi="Calibri" w:cs="Calibri"/>
        <w:noProof/>
        <w:sz w:val="20"/>
        <w:szCs w:val="20"/>
      </w:rPr>
      <w:ptab w:relativeTo="margin" w:alignment="right" w:leader="none"/>
    </w:r>
    <w:r w:rsidR="008B0312" w:rsidRPr="00EA0CB7">
      <w:rPr>
        <w:rFonts w:ascii="Calibri" w:hAnsi="Calibri" w:cs="Calibri"/>
        <w:noProof/>
        <w:sz w:val="20"/>
        <w:szCs w:val="20"/>
      </w:rPr>
      <w:drawing>
        <wp:inline distT="0" distB="0" distL="0" distR="0" wp14:anchorId="23941356" wp14:editId="02B681C5">
          <wp:extent cx="603250" cy="320040"/>
          <wp:effectExtent l="0" t="0" r="6350" b="3810"/>
          <wp:docPr id="50" name="Picture 50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89B66" w14:textId="128AEDD2" w:rsidR="00EA0CB7" w:rsidRPr="00EA0CB7" w:rsidRDefault="00C52C5A" w:rsidP="00EA0CB7">
    <w:pPr>
      <w:pStyle w:val="Footer"/>
      <w:spacing w:before="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4/19/18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A206" w14:textId="0E2ABD0D" w:rsidR="008F1CF0" w:rsidRPr="008A0BA8" w:rsidRDefault="008A0BA8" w:rsidP="008A0BA8">
    <w:pPr>
      <w:pStyle w:val="Footer"/>
      <w:jc w:val="center"/>
      <w:rPr>
        <w:color w:val="0D0D0D" w:themeColor="text1" w:themeTint="F2"/>
        <w:sz w:val="18"/>
      </w:rPr>
    </w:pPr>
    <w:bookmarkStart w:id="1" w:name="_Hlk509400301"/>
    <w:bookmarkStart w:id="2" w:name="_Hlk509400302"/>
    <w:r>
      <w:rPr>
        <w:noProof/>
      </w:rPr>
      <w:drawing>
        <wp:anchor distT="0" distB="0" distL="114300" distR="114300" simplePos="0" relativeHeight="251661312" behindDoc="1" locked="0" layoutInCell="1" allowOverlap="1" wp14:anchorId="33D2C341" wp14:editId="3799574D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603250" cy="320040"/>
          <wp:effectExtent l="0" t="0" r="6350" b="3810"/>
          <wp:wrapNone/>
          <wp:docPr id="52" name="Picture 52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509410677"/>
    <w:r w:rsidRPr="008F1CF0">
      <w:rPr>
        <w:rFonts w:cs="Open Sans"/>
        <w:color w:val="auto"/>
        <w:sz w:val="18"/>
        <w:szCs w:val="20"/>
      </w:rPr>
      <w:t>Copyright © Texas Education Agency, 201</w:t>
    </w:r>
    <w:r>
      <w:rPr>
        <w:rFonts w:cs="Open Sans"/>
        <w:color w:val="auto"/>
        <w:sz w:val="18"/>
        <w:szCs w:val="20"/>
      </w:rPr>
      <w:t>8</w:t>
    </w:r>
    <w:r w:rsidRPr="008F1CF0">
      <w:rPr>
        <w:rFonts w:cs="Open Sans"/>
        <w:color w:val="auto"/>
        <w:sz w:val="18"/>
        <w:szCs w:val="20"/>
      </w:rPr>
      <w:t>. All rights reserved.</w:t>
    </w:r>
    <w:r w:rsidRPr="008F1CF0">
      <w:rPr>
        <w:noProof/>
      </w:rPr>
      <w:t xml:space="preserve"> </w:t>
    </w:r>
    <w:bookmarkEnd w:id="1"/>
    <w:bookmarkEnd w:id="2"/>
    <w:r>
      <w:rPr>
        <w:noProof/>
      </w:rPr>
      <w:t xml:space="preserve"> </w:t>
    </w:r>
    <w:bookmarkEnd w:id="3"/>
    <w:r w:rsidRPr="008A0BA8">
      <w:rPr>
        <w:color w:val="0D0D0D" w:themeColor="text1" w:themeTint="F2"/>
      </w:rPr>
      <w:ptab w:relativeTo="margin" w:alignment="center" w:leader="none"/>
    </w:r>
    <w:r w:rsidRPr="008A0BA8">
      <w:rPr>
        <w:color w:val="0D0D0D" w:themeColor="text1" w:themeTint="F2"/>
      </w:rPr>
      <w:fldChar w:fldCharType="begin"/>
    </w:r>
    <w:r w:rsidRPr="008A0BA8">
      <w:rPr>
        <w:color w:val="0D0D0D" w:themeColor="text1" w:themeTint="F2"/>
      </w:rPr>
      <w:instrText xml:space="preserve"> PAGE   \* MERGEFORMAT </w:instrText>
    </w:r>
    <w:r w:rsidRPr="008A0BA8">
      <w:rPr>
        <w:color w:val="0D0D0D" w:themeColor="text1" w:themeTint="F2"/>
      </w:rPr>
      <w:fldChar w:fldCharType="separate"/>
    </w:r>
    <w:r w:rsidRPr="008A0BA8">
      <w:rPr>
        <w:noProof/>
        <w:color w:val="0D0D0D" w:themeColor="text1" w:themeTint="F2"/>
      </w:rPr>
      <w:t>1</w:t>
    </w:r>
    <w:r w:rsidRPr="008A0BA8">
      <w:rPr>
        <w:noProof/>
        <w:color w:val="0D0D0D" w:themeColor="text1" w:themeTint="F2"/>
      </w:rPr>
      <w:fldChar w:fldCharType="end"/>
    </w:r>
    <w:r w:rsidRPr="008A0BA8">
      <w:rPr>
        <w:color w:val="0D0D0D" w:themeColor="text1" w:themeTint="F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3688" w14:textId="77777777" w:rsidR="008D697B" w:rsidRDefault="008D697B">
      <w:pPr>
        <w:spacing w:before="0" w:after="0"/>
      </w:pPr>
      <w:r>
        <w:separator/>
      </w:r>
    </w:p>
  </w:footnote>
  <w:footnote w:type="continuationSeparator" w:id="0">
    <w:p w14:paraId="5D6A2A3D" w14:textId="77777777" w:rsidR="008D697B" w:rsidRDefault="008D69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B0EF" w14:textId="501B0E85" w:rsidR="008A0BA8" w:rsidRDefault="008A0BA8" w:rsidP="008B03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76CD" w14:textId="64E49F69" w:rsidR="008F1CF0" w:rsidRDefault="008F1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47A2E" wp14:editId="55AAE3CF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310640" cy="600075"/>
          <wp:effectExtent l="0" t="0" r="0" b="0"/>
          <wp:wrapNone/>
          <wp:docPr id="51" name="image1.png" descr="Texas CT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3C7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65055"/>
    <w:multiLevelType w:val="hybridMultilevel"/>
    <w:tmpl w:val="0AE4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7D49"/>
    <w:multiLevelType w:val="hybridMultilevel"/>
    <w:tmpl w:val="7654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130"/>
    <w:multiLevelType w:val="hybridMultilevel"/>
    <w:tmpl w:val="896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791D"/>
    <w:multiLevelType w:val="hybridMultilevel"/>
    <w:tmpl w:val="2326D45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379E7694"/>
    <w:multiLevelType w:val="hybridMultilevel"/>
    <w:tmpl w:val="AB94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2630"/>
    <w:multiLevelType w:val="hybridMultilevel"/>
    <w:tmpl w:val="E086FA2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5B547200"/>
    <w:multiLevelType w:val="hybridMultilevel"/>
    <w:tmpl w:val="6DE0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E2B6A"/>
    <w:multiLevelType w:val="hybridMultilevel"/>
    <w:tmpl w:val="9DF8B92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E1E05"/>
    <w:multiLevelType w:val="hybridMultilevel"/>
    <w:tmpl w:val="C466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1DAA"/>
    <w:multiLevelType w:val="hybridMultilevel"/>
    <w:tmpl w:val="654A4A9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0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12"/>
  </w:num>
  <w:num w:numId="20">
    <w:abstractNumId w:val="19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5"/>
    <w:rsid w:val="00002F9E"/>
    <w:rsid w:val="00017EC5"/>
    <w:rsid w:val="000255EB"/>
    <w:rsid w:val="00030421"/>
    <w:rsid w:val="00036294"/>
    <w:rsid w:val="00042EB3"/>
    <w:rsid w:val="000432CB"/>
    <w:rsid w:val="00055D2C"/>
    <w:rsid w:val="00067E51"/>
    <w:rsid w:val="00072BC7"/>
    <w:rsid w:val="0009720B"/>
    <w:rsid w:val="000E1E0F"/>
    <w:rsid w:val="000F2568"/>
    <w:rsid w:val="00101DFF"/>
    <w:rsid w:val="001933B1"/>
    <w:rsid w:val="001A00F3"/>
    <w:rsid w:val="001A2D85"/>
    <w:rsid w:val="001E3981"/>
    <w:rsid w:val="0020549E"/>
    <w:rsid w:val="00241936"/>
    <w:rsid w:val="0028329D"/>
    <w:rsid w:val="00286B6E"/>
    <w:rsid w:val="00297A24"/>
    <w:rsid w:val="002A6287"/>
    <w:rsid w:val="002B2870"/>
    <w:rsid w:val="002B63F2"/>
    <w:rsid w:val="002B7FC8"/>
    <w:rsid w:val="002C2FCC"/>
    <w:rsid w:val="002D6F50"/>
    <w:rsid w:val="002E1B17"/>
    <w:rsid w:val="002E1C83"/>
    <w:rsid w:val="002E2209"/>
    <w:rsid w:val="00302215"/>
    <w:rsid w:val="00315746"/>
    <w:rsid w:val="00345A00"/>
    <w:rsid w:val="0037390F"/>
    <w:rsid w:val="0038751C"/>
    <w:rsid w:val="003B6F61"/>
    <w:rsid w:val="003D782B"/>
    <w:rsid w:val="004866AB"/>
    <w:rsid w:val="004E2347"/>
    <w:rsid w:val="004E70F4"/>
    <w:rsid w:val="004F751F"/>
    <w:rsid w:val="00512620"/>
    <w:rsid w:val="005408CE"/>
    <w:rsid w:val="00540AA5"/>
    <w:rsid w:val="005567A0"/>
    <w:rsid w:val="00567354"/>
    <w:rsid w:val="00585623"/>
    <w:rsid w:val="00587FBD"/>
    <w:rsid w:val="00610669"/>
    <w:rsid w:val="00617123"/>
    <w:rsid w:val="00626144"/>
    <w:rsid w:val="006678A6"/>
    <w:rsid w:val="00672180"/>
    <w:rsid w:val="00675768"/>
    <w:rsid w:val="006D0418"/>
    <w:rsid w:val="006D1F75"/>
    <w:rsid w:val="006E3674"/>
    <w:rsid w:val="00710B07"/>
    <w:rsid w:val="007752D0"/>
    <w:rsid w:val="00797C90"/>
    <w:rsid w:val="007A5011"/>
    <w:rsid w:val="007C3F28"/>
    <w:rsid w:val="008165C8"/>
    <w:rsid w:val="0082433E"/>
    <w:rsid w:val="008329D1"/>
    <w:rsid w:val="00851AFC"/>
    <w:rsid w:val="0085237C"/>
    <w:rsid w:val="00856AE7"/>
    <w:rsid w:val="00862189"/>
    <w:rsid w:val="00880385"/>
    <w:rsid w:val="008A0BA8"/>
    <w:rsid w:val="008B0312"/>
    <w:rsid w:val="008D697B"/>
    <w:rsid w:val="008F1CF0"/>
    <w:rsid w:val="008F49AA"/>
    <w:rsid w:val="00945066"/>
    <w:rsid w:val="0095764D"/>
    <w:rsid w:val="00961007"/>
    <w:rsid w:val="00973384"/>
    <w:rsid w:val="009740B4"/>
    <w:rsid w:val="009B25A8"/>
    <w:rsid w:val="009C437A"/>
    <w:rsid w:val="009D0FDD"/>
    <w:rsid w:val="00A26D40"/>
    <w:rsid w:val="00A43099"/>
    <w:rsid w:val="00A73750"/>
    <w:rsid w:val="00A8145D"/>
    <w:rsid w:val="00A83213"/>
    <w:rsid w:val="00A963C6"/>
    <w:rsid w:val="00AC7F4E"/>
    <w:rsid w:val="00AF3E1A"/>
    <w:rsid w:val="00AF740C"/>
    <w:rsid w:val="00B01C16"/>
    <w:rsid w:val="00B14219"/>
    <w:rsid w:val="00B406F4"/>
    <w:rsid w:val="00B76B2E"/>
    <w:rsid w:val="00B94639"/>
    <w:rsid w:val="00BD6F49"/>
    <w:rsid w:val="00C01C8D"/>
    <w:rsid w:val="00C31FFD"/>
    <w:rsid w:val="00C323A8"/>
    <w:rsid w:val="00C51EA3"/>
    <w:rsid w:val="00C52C5A"/>
    <w:rsid w:val="00C81B70"/>
    <w:rsid w:val="00CE1423"/>
    <w:rsid w:val="00CE6646"/>
    <w:rsid w:val="00CF529C"/>
    <w:rsid w:val="00D0108E"/>
    <w:rsid w:val="00D06676"/>
    <w:rsid w:val="00D543C2"/>
    <w:rsid w:val="00D6255C"/>
    <w:rsid w:val="00D63BAB"/>
    <w:rsid w:val="00D901C3"/>
    <w:rsid w:val="00D924CC"/>
    <w:rsid w:val="00D94B73"/>
    <w:rsid w:val="00DA2059"/>
    <w:rsid w:val="00DB3387"/>
    <w:rsid w:val="00DB73F4"/>
    <w:rsid w:val="00DC39B6"/>
    <w:rsid w:val="00E36469"/>
    <w:rsid w:val="00EA0CB7"/>
    <w:rsid w:val="00F411CD"/>
    <w:rsid w:val="00FB46B7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961E"/>
  <w15:chartTrackingRefBased/>
  <w15:docId w15:val="{007E9E04-D5A9-46BD-A6D1-06DDF64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A8"/>
    <w:rPr>
      <w:rFonts w:ascii="Open Sans" w:hAnsi="Open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6F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aps/>
      <w:color w:val="auto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8B0312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="Calibri" w:eastAsiaTheme="majorEastAsia" w:hAnsi="Calibri" w:cstheme="majorBidi"/>
      <w:color w:val="203064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B0312"/>
    <w:rPr>
      <w:rFonts w:ascii="Calibri" w:eastAsiaTheme="majorEastAsia" w:hAnsi="Calibri" w:cstheme="majorBidi"/>
      <w:color w:val="203064"/>
      <w:kern w:val="28"/>
      <w:sz w:val="40"/>
      <w:szCs w:val="48"/>
    </w:rPr>
  </w:style>
  <w:style w:type="paragraph" w:customStyle="1" w:styleId="LessonHead">
    <w:name w:val="Lesson Head"/>
    <w:basedOn w:val="Normal"/>
    <w:next w:val="Normal"/>
    <w:uiPriority w:val="2"/>
    <w:qFormat/>
    <w:rsid w:val="008A0BA8"/>
    <w:pPr>
      <w:spacing w:before="240"/>
    </w:pPr>
    <w:rPr>
      <w:rFonts w:eastAsiaTheme="majorEastAsia" w:cstheme="majorBidi"/>
      <w:b/>
      <w:bCs/>
      <w:caps/>
      <w:color w:val="203064"/>
    </w:rPr>
  </w:style>
  <w:style w:type="character" w:customStyle="1" w:styleId="Heading1Char">
    <w:name w:val="Heading 1 Char"/>
    <w:basedOn w:val="DefaultParagraphFont"/>
    <w:link w:val="Heading1"/>
    <w:uiPriority w:val="9"/>
    <w:rsid w:val="00626144"/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406F4"/>
    <w:rPr>
      <w:rFonts w:ascii="Calibri" w:eastAsiaTheme="majorEastAsia" w:hAnsi="Calibri" w:cstheme="majorBidi"/>
      <w:b/>
      <w:caps/>
      <w:color w:val="auto"/>
      <w:sz w:val="24"/>
      <w:szCs w:val="16"/>
    </w:rPr>
  </w:style>
  <w:style w:type="table" w:customStyle="1" w:styleId="LessonPlan">
    <w:name w:val="Lesson Plan"/>
    <w:basedOn w:val="TableNormal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rsid w:val="008A0BA8"/>
    <w:pPr>
      <w:spacing w:before="0" w:after="0"/>
    </w:pPr>
    <w:rPr>
      <w:rFonts w:ascii="Open Sans" w:hAnsi="Open Sans"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customStyle="1" w:styleId="DateChar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  <w:style w:type="paragraph" w:customStyle="1" w:styleId="SUBPARAGRAPHA">
    <w:name w:val="*SUBPARAGRAPH (A)"/>
    <w:link w:val="SUBPARAGRAPHAChar"/>
    <w:rsid w:val="00B14219"/>
    <w:pPr>
      <w:tabs>
        <w:tab w:val="left" w:pos="2160"/>
      </w:tabs>
      <w:spacing w:before="120" w:after="200" w:line="276" w:lineRule="auto"/>
      <w:ind w:left="2160" w:right="0" w:hanging="720"/>
    </w:pPr>
    <w:rPr>
      <w:rFonts w:ascii="Calibri" w:eastAsia="Calibri" w:hAnsi="Calibri" w:cs="Times New Roman"/>
      <w:color w:val="auto"/>
      <w:lang w:eastAsia="en-US"/>
    </w:rPr>
  </w:style>
  <w:style w:type="character" w:customStyle="1" w:styleId="SUBPARAGRAPHAChar">
    <w:name w:val="*SUBPARAGRAPH (A) Char"/>
    <w:link w:val="SUBPARAGRAPHA"/>
    <w:rsid w:val="00B14219"/>
    <w:rPr>
      <w:rFonts w:ascii="Calibri" w:eastAsia="Calibri" w:hAnsi="Calibri" w:cs="Times New Roman"/>
      <w:color w:val="auto"/>
      <w:lang w:eastAsia="en-US"/>
    </w:rPr>
  </w:style>
  <w:style w:type="paragraph" w:customStyle="1" w:styleId="PARAGRAPH1">
    <w:name w:val="*PARAGRAPH (1)"/>
    <w:link w:val="PARAGRAPH1Char"/>
    <w:rsid w:val="00B14219"/>
    <w:pPr>
      <w:tabs>
        <w:tab w:val="left" w:pos="1440"/>
      </w:tabs>
      <w:spacing w:before="120" w:after="200" w:line="276" w:lineRule="auto"/>
      <w:ind w:left="1440" w:right="0" w:hanging="720"/>
    </w:pPr>
    <w:rPr>
      <w:rFonts w:ascii="Calibri" w:eastAsia="Calibri" w:hAnsi="Calibri" w:cs="Times New Roman"/>
      <w:color w:val="auto"/>
      <w:lang w:eastAsia="en-US"/>
    </w:rPr>
  </w:style>
  <w:style w:type="character" w:customStyle="1" w:styleId="PARAGRAPH1Char">
    <w:name w:val="*PARAGRAPH (1) Char"/>
    <w:link w:val="PARAGRAPH1"/>
    <w:rsid w:val="00B14219"/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cd.org/ASCD/pdf/books/mctighe2004_intro.pdf" TargetMode="External"/><Relationship Id="rId18" Type="http://schemas.openxmlformats.org/officeDocument/2006/relationships/hyperlink" Target="https://www.edutopia.org/blog/internet-safety-younger-elementary-mary-beth-hert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topia.org/article/creating-inclusive-classro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xcte.org/" TargetMode="External"/><Relationship Id="rId17" Type="http://schemas.openxmlformats.org/officeDocument/2006/relationships/hyperlink" Target="https://www.edutopia.org/article/putting-learning-first-new-tech-tool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topia.org/blog/classroom-behavior-classdojo-app-lisa-mims" TargetMode="External"/><Relationship Id="rId20" Type="http://schemas.openxmlformats.org/officeDocument/2006/relationships/hyperlink" Target="https://www.edutopia.org/blog/just-in-time-teaching-gregor-nov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tter.tea.state.tx.us/rules/tac/chapter130/index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dutopia.org/blog/supporting-practice-with-emerging-technologies-sandra-schamroth-abram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dutopia.org/article/new-teachers-lesson-curriculum-planning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daamerica.org/graphic-organizers/" TargetMode="External"/><Relationship Id="rId22" Type="http://schemas.openxmlformats.org/officeDocument/2006/relationships/hyperlink" Target="https://www.edutopia.org/blog/backwards-planning-thinking-ahead-rebecca-albe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4" ma:contentTypeDescription="Create a new document." ma:contentTypeScope="" ma:versionID="c18a26c26e44985dfbd408489f4f4dc3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4a6342dc8e5b9094e529e12f5f214f82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D9E3-F43B-4E7A-B604-F9CF618B6B84}"/>
</file>

<file path=customXml/itemProps2.xml><?xml version="1.0" encoding="utf-8"?>
<ds:datastoreItem xmlns:ds="http://schemas.openxmlformats.org/officeDocument/2006/customXml" ds:itemID="{9421ABB5-C4A8-456F-BF13-F85CA7420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A6F6-0D1D-46C2-80A8-82B69684A94E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8CB8AD-3F57-4744-942F-2D7BA8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</vt:lpstr>
      <vt:lpstr>Course and Unit Information</vt:lpstr>
      <vt:lpstr>Unit Overview</vt:lpstr>
      <vt:lpstr>Unit PLan</vt:lpstr>
      <vt:lpstr>    Unit Plan Table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Cynthia Brennan</cp:lastModifiedBy>
  <cp:revision>2</cp:revision>
  <cp:lastPrinted>2013-02-15T20:09:00Z</cp:lastPrinted>
  <dcterms:created xsi:type="dcterms:W3CDTF">2018-06-07T01:15:00Z</dcterms:created>
  <dcterms:modified xsi:type="dcterms:W3CDTF">2018-06-07T01:15:00Z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