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E61" w:rsidRDefault="00A55E61" w:rsidP="00A55E61">
      <w:pPr>
        <w:spacing w:after="0" w:line="240" w:lineRule="auto"/>
        <w:ind w:right="440"/>
        <w:jc w:val="center"/>
        <w:rPr>
          <w:rFonts w:ascii="Open Sans" w:eastAsia="Arial" w:hAnsi="Open Sans" w:cs="Open Sans"/>
          <w:b/>
          <w:bCs/>
          <w:sz w:val="24"/>
          <w:szCs w:val="24"/>
        </w:rPr>
      </w:pPr>
      <w:r w:rsidRPr="00A55E61">
        <w:rPr>
          <w:rFonts w:ascii="Open Sans" w:eastAsia="Arial" w:hAnsi="Open Sans" w:cs="Open Sans"/>
          <w:b/>
          <w:bCs/>
          <w:sz w:val="24"/>
          <w:szCs w:val="24"/>
        </w:rPr>
        <w:t>Prevention Analysis Key Terms</w:t>
      </w:r>
    </w:p>
    <w:p w:rsidR="00A55E61" w:rsidRDefault="00A55E61" w:rsidP="00A55E61">
      <w:pPr>
        <w:spacing w:after="0" w:line="240" w:lineRule="auto"/>
        <w:ind w:right="440"/>
        <w:jc w:val="center"/>
        <w:rPr>
          <w:rFonts w:ascii="Open Sans" w:eastAsia="Arial" w:hAnsi="Open Sans" w:cs="Open Sans"/>
          <w:b/>
          <w:bCs/>
          <w:sz w:val="24"/>
          <w:szCs w:val="24"/>
        </w:rPr>
      </w:pPr>
    </w:p>
    <w:p w:rsidR="00A55E61" w:rsidRPr="00A55E61" w:rsidRDefault="00A55E61" w:rsidP="00A55E61">
      <w:pPr>
        <w:spacing w:after="0" w:line="274" w:lineRule="auto"/>
        <w:ind w:left="640" w:right="820" w:hanging="359"/>
        <w:rPr>
          <w:rFonts w:ascii="Open Sans" w:eastAsia="Times New Roman" w:hAnsi="Open Sans" w:cs="Open Sans"/>
          <w:sz w:val="20"/>
          <w:szCs w:val="20"/>
        </w:rPr>
      </w:pPr>
      <w:r w:rsidRPr="00A55E61">
        <w:rPr>
          <w:rFonts w:ascii="Open Sans" w:eastAsia="Arial" w:hAnsi="Open Sans" w:cs="Open Sans"/>
          <w:sz w:val="24"/>
          <w:szCs w:val="24"/>
        </w:rPr>
        <w:t>Crime prevention – any action taken to reduce crime risks and build individual and community safety</w:t>
      </w:r>
    </w:p>
    <w:p w:rsidR="00A55E61" w:rsidRPr="00A55E61" w:rsidRDefault="00A55E61" w:rsidP="00A55E61">
      <w:pPr>
        <w:spacing w:after="0" w:line="162" w:lineRule="exact"/>
        <w:rPr>
          <w:rFonts w:ascii="Open Sans" w:eastAsia="Times New Roman" w:hAnsi="Open Sans" w:cs="Open Sans"/>
          <w:sz w:val="20"/>
          <w:szCs w:val="20"/>
        </w:rPr>
      </w:pPr>
    </w:p>
    <w:p w:rsidR="00A55E61" w:rsidRPr="00A55E61" w:rsidRDefault="00A55E61" w:rsidP="00A55E61">
      <w:pPr>
        <w:spacing w:after="0" w:line="276" w:lineRule="auto"/>
        <w:ind w:left="640" w:right="900" w:hanging="359"/>
        <w:rPr>
          <w:rFonts w:ascii="Open Sans" w:eastAsia="Times New Roman" w:hAnsi="Open Sans" w:cs="Open Sans"/>
          <w:sz w:val="20"/>
          <w:szCs w:val="20"/>
        </w:rPr>
      </w:pPr>
      <w:r w:rsidRPr="00A55E61">
        <w:rPr>
          <w:rFonts w:ascii="Open Sans" w:eastAsia="Arial" w:hAnsi="Open Sans" w:cs="Open Sans"/>
          <w:sz w:val="24"/>
          <w:szCs w:val="24"/>
        </w:rPr>
        <w:t>Crime prevention through environmental design (CPTED) – a unique approach to preventing crime that focuses on the physical environment</w:t>
      </w:r>
    </w:p>
    <w:p w:rsidR="00A55E61" w:rsidRPr="00A55E61" w:rsidRDefault="00A55E61" w:rsidP="00A55E61">
      <w:pPr>
        <w:spacing w:after="0" w:line="157" w:lineRule="exact"/>
        <w:rPr>
          <w:rFonts w:ascii="Open Sans" w:eastAsia="Times New Roman" w:hAnsi="Open Sans" w:cs="Open Sans"/>
          <w:sz w:val="20"/>
          <w:szCs w:val="20"/>
        </w:rPr>
      </w:pPr>
    </w:p>
    <w:p w:rsidR="00A55E61" w:rsidRPr="00A55E61" w:rsidRDefault="00A55E61" w:rsidP="00A55E61">
      <w:pPr>
        <w:spacing w:after="0" w:line="276" w:lineRule="auto"/>
        <w:ind w:left="640" w:right="500" w:hanging="359"/>
        <w:rPr>
          <w:rFonts w:ascii="Open Sans" w:eastAsia="Times New Roman" w:hAnsi="Open Sans" w:cs="Open Sans"/>
          <w:sz w:val="20"/>
          <w:szCs w:val="20"/>
        </w:rPr>
      </w:pPr>
      <w:r w:rsidRPr="00A55E61">
        <w:rPr>
          <w:rFonts w:ascii="Open Sans" w:eastAsia="Arial" w:hAnsi="Open Sans" w:cs="Open Sans"/>
          <w:sz w:val="24"/>
          <w:szCs w:val="24"/>
        </w:rPr>
        <w:t>Deterrence – a theory of justice whereby the aim of punishment is to prevent or deter future criminal activity</w:t>
      </w:r>
    </w:p>
    <w:p w:rsidR="00A55E61" w:rsidRPr="00A55E61" w:rsidRDefault="00A55E61" w:rsidP="00A55E61">
      <w:pPr>
        <w:spacing w:after="0" w:line="157" w:lineRule="exact"/>
        <w:rPr>
          <w:rFonts w:ascii="Open Sans" w:eastAsia="Times New Roman" w:hAnsi="Open Sans" w:cs="Open Sans"/>
          <w:sz w:val="20"/>
          <w:szCs w:val="20"/>
        </w:rPr>
      </w:pPr>
    </w:p>
    <w:p w:rsidR="00A55E61" w:rsidRPr="00A55E61" w:rsidRDefault="00A55E61" w:rsidP="00A55E61">
      <w:pPr>
        <w:spacing w:after="0" w:line="258" w:lineRule="auto"/>
        <w:ind w:left="640" w:right="220" w:hanging="359"/>
        <w:rPr>
          <w:rFonts w:ascii="Open Sans" w:eastAsia="Times New Roman" w:hAnsi="Open Sans" w:cs="Open Sans"/>
          <w:sz w:val="20"/>
          <w:szCs w:val="20"/>
        </w:rPr>
      </w:pPr>
      <w:r w:rsidRPr="00A55E61">
        <w:rPr>
          <w:rFonts w:ascii="Open Sans" w:eastAsia="Arial" w:hAnsi="Open Sans" w:cs="Open Sans"/>
          <w:sz w:val="24"/>
          <w:szCs w:val="24"/>
        </w:rPr>
        <w:t>General deterrence – a philosophy stating that punishing an individual offender deters others from offending, and that persons engage in criminal activity if they do not fear apprehension and punishment</w:t>
      </w:r>
    </w:p>
    <w:p w:rsidR="00A55E61" w:rsidRPr="00A55E61" w:rsidRDefault="00A55E61" w:rsidP="00A55E61">
      <w:pPr>
        <w:spacing w:after="0" w:line="178" w:lineRule="exact"/>
        <w:rPr>
          <w:rFonts w:ascii="Open Sans" w:eastAsia="Times New Roman" w:hAnsi="Open Sans" w:cs="Open Sans"/>
          <w:sz w:val="20"/>
          <w:szCs w:val="20"/>
        </w:rPr>
      </w:pPr>
    </w:p>
    <w:p w:rsidR="00A55E61" w:rsidRPr="00A55E61" w:rsidRDefault="00A55E61" w:rsidP="00A55E61">
      <w:pPr>
        <w:spacing w:after="0" w:line="257" w:lineRule="auto"/>
        <w:ind w:left="640" w:right="100" w:hanging="359"/>
        <w:rPr>
          <w:rFonts w:ascii="Open Sans" w:eastAsia="Times New Roman" w:hAnsi="Open Sans" w:cs="Open Sans"/>
          <w:sz w:val="20"/>
          <w:szCs w:val="20"/>
        </w:rPr>
      </w:pPr>
      <w:r w:rsidRPr="00A55E61">
        <w:rPr>
          <w:rFonts w:ascii="Open Sans" w:eastAsia="Arial" w:hAnsi="Open Sans" w:cs="Open Sans"/>
          <w:sz w:val="24"/>
          <w:szCs w:val="24"/>
        </w:rPr>
        <w:t>Incapacitation – aims to prevent future crimes by removing the individual’s ability to commit criminal acts instead of rehabilitating the individual; considered by some to be a subset of specific deterrence</w:t>
      </w:r>
    </w:p>
    <w:p w:rsidR="00A55E61" w:rsidRPr="00A55E61" w:rsidRDefault="00A55E61" w:rsidP="00A55E61">
      <w:pPr>
        <w:spacing w:after="0" w:line="181" w:lineRule="exact"/>
        <w:rPr>
          <w:rFonts w:ascii="Open Sans" w:eastAsia="Times New Roman" w:hAnsi="Open Sans" w:cs="Open Sans"/>
          <w:sz w:val="20"/>
          <w:szCs w:val="20"/>
        </w:rPr>
      </w:pPr>
    </w:p>
    <w:p w:rsidR="00A55E61" w:rsidRPr="00A55E61" w:rsidRDefault="00A55E61" w:rsidP="00A55E61">
      <w:pPr>
        <w:spacing w:after="0" w:line="257" w:lineRule="auto"/>
        <w:ind w:left="640" w:right="780" w:hanging="359"/>
        <w:jc w:val="both"/>
        <w:rPr>
          <w:rFonts w:ascii="Open Sans" w:eastAsia="Times New Roman" w:hAnsi="Open Sans" w:cs="Open Sans"/>
          <w:sz w:val="20"/>
          <w:szCs w:val="20"/>
        </w:rPr>
      </w:pPr>
      <w:r w:rsidRPr="00A55E61">
        <w:rPr>
          <w:rFonts w:ascii="Open Sans" w:eastAsia="Arial" w:hAnsi="Open Sans" w:cs="Open Sans"/>
          <w:sz w:val="24"/>
          <w:szCs w:val="24"/>
        </w:rPr>
        <w:t>Index crimes – the eight major crimes included in Part I of the FBI’s Uniform Crime Report: criminal homicide, forcible rape, robbery, aggravated assault, burglary, larceny theft, motor vehicle theft, and arson</w:t>
      </w:r>
    </w:p>
    <w:p w:rsidR="00A55E61" w:rsidRPr="00A55E61" w:rsidRDefault="00A55E61" w:rsidP="00A55E61">
      <w:pPr>
        <w:spacing w:after="0" w:line="181" w:lineRule="exact"/>
        <w:rPr>
          <w:rFonts w:ascii="Open Sans" w:eastAsia="Times New Roman" w:hAnsi="Open Sans" w:cs="Open Sans"/>
          <w:sz w:val="20"/>
          <w:szCs w:val="20"/>
        </w:rPr>
      </w:pPr>
    </w:p>
    <w:p w:rsidR="00A55E61" w:rsidRPr="00A55E61" w:rsidRDefault="00A55E61" w:rsidP="00A55E61">
      <w:pPr>
        <w:spacing w:after="0" w:line="258" w:lineRule="auto"/>
        <w:ind w:left="640" w:right="240" w:hanging="359"/>
        <w:rPr>
          <w:rFonts w:ascii="Open Sans" w:eastAsia="Times New Roman" w:hAnsi="Open Sans" w:cs="Open Sans"/>
          <w:sz w:val="20"/>
          <w:szCs w:val="20"/>
        </w:rPr>
      </w:pPr>
      <w:r w:rsidRPr="00A55E61">
        <w:rPr>
          <w:rFonts w:ascii="Open Sans" w:eastAsia="Arial" w:hAnsi="Open Sans" w:cs="Open Sans"/>
          <w:sz w:val="24"/>
          <w:szCs w:val="24"/>
        </w:rPr>
        <w:t xml:space="preserve">National Crime Victimization Survey (NCVS) – a national survey conducted by the Bureau of Justice Statistics and the US Census Bureau </w:t>
      </w:r>
      <w:proofErr w:type="gramStart"/>
      <w:r w:rsidRPr="00A55E61">
        <w:rPr>
          <w:rFonts w:ascii="Open Sans" w:eastAsia="Arial" w:hAnsi="Open Sans" w:cs="Open Sans"/>
          <w:sz w:val="24"/>
          <w:szCs w:val="24"/>
        </w:rPr>
        <w:t>for the purpose of</w:t>
      </w:r>
      <w:proofErr w:type="gramEnd"/>
      <w:r w:rsidRPr="00A55E61">
        <w:rPr>
          <w:rFonts w:ascii="Open Sans" w:eastAsia="Arial" w:hAnsi="Open Sans" w:cs="Open Sans"/>
          <w:sz w:val="24"/>
          <w:szCs w:val="24"/>
        </w:rPr>
        <w:t xml:space="preserve"> building a crime index</w:t>
      </w:r>
    </w:p>
    <w:p w:rsidR="00A55E61" w:rsidRPr="00A55E61" w:rsidRDefault="00A55E61" w:rsidP="00A55E61">
      <w:pPr>
        <w:spacing w:after="0" w:line="178" w:lineRule="exact"/>
        <w:rPr>
          <w:rFonts w:ascii="Open Sans" w:eastAsia="Times New Roman" w:hAnsi="Open Sans" w:cs="Open Sans"/>
          <w:sz w:val="20"/>
          <w:szCs w:val="20"/>
        </w:rPr>
      </w:pPr>
    </w:p>
    <w:p w:rsidR="00A55E61" w:rsidRPr="00A55E61" w:rsidRDefault="00A55E61" w:rsidP="00A55E61">
      <w:pPr>
        <w:spacing w:after="0" w:line="274" w:lineRule="auto"/>
        <w:ind w:left="640" w:right="500" w:hanging="359"/>
        <w:rPr>
          <w:rFonts w:ascii="Open Sans" w:eastAsia="Times New Roman" w:hAnsi="Open Sans" w:cs="Open Sans"/>
          <w:sz w:val="20"/>
          <w:szCs w:val="20"/>
        </w:rPr>
      </w:pPr>
      <w:r w:rsidRPr="00A55E61">
        <w:rPr>
          <w:rFonts w:ascii="Open Sans" w:eastAsia="Arial" w:hAnsi="Open Sans" w:cs="Open Sans"/>
          <w:sz w:val="24"/>
          <w:szCs w:val="24"/>
        </w:rPr>
        <w:t>Situational crime prevention – seeks to reduce opportunities for specific categories of crime by increasing the associated risks/difficulties and reducing the rewards</w:t>
      </w:r>
    </w:p>
    <w:p w:rsidR="00A55E61" w:rsidRPr="00A55E61" w:rsidRDefault="00A55E61" w:rsidP="00A55E61">
      <w:pPr>
        <w:spacing w:after="0" w:line="162" w:lineRule="exact"/>
        <w:rPr>
          <w:rFonts w:ascii="Open Sans" w:eastAsia="Times New Roman" w:hAnsi="Open Sans" w:cs="Open Sans"/>
          <w:sz w:val="20"/>
          <w:szCs w:val="20"/>
        </w:rPr>
      </w:pPr>
    </w:p>
    <w:p w:rsidR="00A55E61" w:rsidRPr="00A55E61" w:rsidRDefault="00A55E61" w:rsidP="00A55E61">
      <w:pPr>
        <w:spacing w:after="0" w:line="258" w:lineRule="auto"/>
        <w:ind w:left="640" w:right="200" w:hanging="359"/>
        <w:rPr>
          <w:rFonts w:ascii="Open Sans" w:eastAsia="Times New Roman" w:hAnsi="Open Sans" w:cs="Open Sans"/>
          <w:sz w:val="20"/>
          <w:szCs w:val="20"/>
        </w:rPr>
      </w:pPr>
      <w:r w:rsidRPr="00A55E61">
        <w:rPr>
          <w:rFonts w:ascii="Open Sans" w:eastAsia="Arial" w:hAnsi="Open Sans" w:cs="Open Sans"/>
          <w:sz w:val="24"/>
          <w:szCs w:val="24"/>
        </w:rPr>
        <w:t>Specific deterrence (a.k.a. special deterrence) – crime prevention techniques that are achieved by instilling fear in the individual being punished so that the person refrains from future violation of the law</w:t>
      </w:r>
    </w:p>
    <w:p w:rsidR="00A55E61" w:rsidRPr="00A55E61" w:rsidRDefault="00A55E61" w:rsidP="00A55E61">
      <w:pPr>
        <w:spacing w:after="0" w:line="178" w:lineRule="exact"/>
        <w:rPr>
          <w:rFonts w:ascii="Open Sans" w:eastAsia="Times New Roman" w:hAnsi="Open Sans" w:cs="Open Sans"/>
          <w:sz w:val="20"/>
          <w:szCs w:val="20"/>
        </w:rPr>
      </w:pPr>
    </w:p>
    <w:p w:rsidR="00A55E61" w:rsidRPr="00A55E61" w:rsidRDefault="00A55E61" w:rsidP="00A55E61">
      <w:pPr>
        <w:spacing w:after="0" w:line="274" w:lineRule="auto"/>
        <w:ind w:left="640" w:right="180" w:hanging="359"/>
        <w:rPr>
          <w:rFonts w:ascii="Open Sans" w:eastAsia="Times New Roman" w:hAnsi="Open Sans" w:cs="Open Sans"/>
          <w:sz w:val="20"/>
          <w:szCs w:val="20"/>
        </w:rPr>
      </w:pPr>
      <w:r w:rsidRPr="00A55E61">
        <w:rPr>
          <w:rFonts w:ascii="Open Sans" w:eastAsia="Arial" w:hAnsi="Open Sans" w:cs="Open Sans"/>
          <w:sz w:val="24"/>
          <w:szCs w:val="24"/>
        </w:rPr>
        <w:t xml:space="preserve">Target hardening – the concept of reducing the opportunity for an offender to carry out a crime </w:t>
      </w:r>
      <w:proofErr w:type="gramStart"/>
      <w:r w:rsidRPr="00A55E61">
        <w:rPr>
          <w:rFonts w:ascii="Open Sans" w:eastAsia="Arial" w:hAnsi="Open Sans" w:cs="Open Sans"/>
          <w:sz w:val="24"/>
          <w:szCs w:val="24"/>
        </w:rPr>
        <w:t>as a means to</w:t>
      </w:r>
      <w:proofErr w:type="gramEnd"/>
      <w:r w:rsidRPr="00A55E61">
        <w:rPr>
          <w:rFonts w:ascii="Open Sans" w:eastAsia="Arial" w:hAnsi="Open Sans" w:cs="Open Sans"/>
          <w:sz w:val="24"/>
          <w:szCs w:val="24"/>
        </w:rPr>
        <w:t xml:space="preserve"> prevent crime</w:t>
      </w:r>
    </w:p>
    <w:p w:rsidR="00A55E61" w:rsidRPr="00A55E61" w:rsidRDefault="00A55E61" w:rsidP="00A55E61">
      <w:pPr>
        <w:spacing w:after="0" w:line="162" w:lineRule="exact"/>
        <w:rPr>
          <w:rFonts w:ascii="Open Sans" w:eastAsia="Times New Roman" w:hAnsi="Open Sans" w:cs="Open Sans"/>
          <w:sz w:val="20"/>
          <w:szCs w:val="20"/>
        </w:rPr>
      </w:pPr>
    </w:p>
    <w:p w:rsidR="002133BD" w:rsidRPr="00A55E61" w:rsidRDefault="00A55E61" w:rsidP="00A55E61">
      <w:pPr>
        <w:spacing w:after="0" w:line="257" w:lineRule="auto"/>
        <w:ind w:left="640" w:right="520" w:hanging="359"/>
        <w:jc w:val="both"/>
        <w:rPr>
          <w:rFonts w:ascii="Open Sans" w:eastAsia="Times New Roman" w:hAnsi="Open Sans" w:cs="Open Sans"/>
          <w:sz w:val="20"/>
          <w:szCs w:val="20"/>
        </w:rPr>
      </w:pPr>
      <w:r w:rsidRPr="00A55E61">
        <w:rPr>
          <w:rFonts w:ascii="Open Sans" w:eastAsia="Arial" w:hAnsi="Open Sans" w:cs="Open Sans"/>
          <w:sz w:val="24"/>
          <w:szCs w:val="24"/>
        </w:rPr>
        <w:t>Uniform Crime Report (UCR) – consists of crime indexes (i.e. burglary, motor vehicle theft and arson) published annually by the Federal Bureau of Investigation (FBI), which summarize the incidence and rate of reported crimes within the US</w:t>
      </w:r>
      <w:bookmarkStart w:id="0" w:name="_GoBack"/>
      <w:bookmarkEnd w:id="0"/>
    </w:p>
    <w:sectPr w:rsidR="002133BD" w:rsidRPr="00A55E61"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DE4" w:rsidRDefault="00DF5DE4" w:rsidP="00E7721B">
      <w:pPr>
        <w:spacing w:after="0" w:line="240" w:lineRule="auto"/>
      </w:pPr>
      <w:r>
        <w:separator/>
      </w:r>
    </w:p>
  </w:endnote>
  <w:endnote w:type="continuationSeparator" w:id="0">
    <w:p w:rsidR="00DF5DE4" w:rsidRDefault="00DF5DE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55E6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55E6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A55E61">
              <w:rPr>
                <w:rFonts w:cs="Calibr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A55E61">
              <w:rPr>
                <w:rFonts w:cs="Calibr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DE4" w:rsidRDefault="00DF5DE4" w:rsidP="00E7721B">
      <w:pPr>
        <w:spacing w:after="0" w:line="240" w:lineRule="auto"/>
      </w:pPr>
      <w:r>
        <w:separator/>
      </w:r>
    </w:p>
  </w:footnote>
  <w:footnote w:type="continuationSeparator" w:id="0">
    <w:p w:rsidR="00DF5DE4" w:rsidRDefault="00DF5DE4"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60A4A"/>
    <w:rsid w:val="004C7226"/>
    <w:rsid w:val="00522998"/>
    <w:rsid w:val="006344A1"/>
    <w:rsid w:val="007756CF"/>
    <w:rsid w:val="007E317F"/>
    <w:rsid w:val="00807D48"/>
    <w:rsid w:val="00A55E61"/>
    <w:rsid w:val="00AA7C04"/>
    <w:rsid w:val="00AD2CEF"/>
    <w:rsid w:val="00B0214B"/>
    <w:rsid w:val="00B72090"/>
    <w:rsid w:val="00DF5DE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8D8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2017-09-30T00:22:00Z</dcterms:created>
  <dcterms:modified xsi:type="dcterms:W3CDTF">2017-09-30T00:22:00Z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